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408BB" w14:textId="77777777" w:rsidR="00DE7A1D" w:rsidRPr="00DE7A1D" w:rsidRDefault="00DE7A1D" w:rsidP="00DE7A1D">
      <w:pPr>
        <w:pStyle w:val="65ReferencesTextstylesTextstyles"/>
      </w:pPr>
    </w:p>
    <w:p w14:paraId="766439C3" w14:textId="37AB69B0" w:rsidR="00DE7A1D" w:rsidRPr="00DE7A1D" w:rsidRDefault="00DE7A1D" w:rsidP="00DE7A1D">
      <w:pPr>
        <w:pStyle w:val="65ReferencesTextstylesTextstyles"/>
        <w:rPr>
          <w:highlight w:val="yellow"/>
        </w:rPr>
      </w:pPr>
      <w:commentRangeStart w:id="0"/>
      <w:r w:rsidRPr="00DE7A1D">
        <w:rPr>
          <w:highlight w:val="yellow"/>
        </w:rPr>
        <w:t>1.</w:t>
      </w:r>
      <w:r w:rsidRPr="00DE7A1D">
        <w:rPr>
          <w:highlight w:val="yellow"/>
        </w:rPr>
        <w:tab/>
        <w:t xml:space="preserve">Ben-Shlomo Y, Kuh D. A life course approach to chronic disease epidemiology: conceptual models, empirical challenges and interdisciplinary perspectives. </w:t>
      </w:r>
      <w:r w:rsidR="00DE57A5" w:rsidRPr="00DE57A5">
        <w:rPr>
          <w:i/>
          <w:highlight w:val="yellow"/>
        </w:rPr>
        <w:t>Int J Epidemiol</w:t>
      </w:r>
      <w:r w:rsidRPr="00DE7A1D">
        <w:rPr>
          <w:highlight w:val="yellow"/>
        </w:rPr>
        <w:t xml:space="preserve"> 2002;</w:t>
      </w:r>
      <w:r w:rsidR="00DE57A5" w:rsidRPr="00DE57A5">
        <w:rPr>
          <w:b/>
          <w:highlight w:val="yellow"/>
        </w:rPr>
        <w:t>31</w:t>
      </w:r>
      <w:r w:rsidRPr="00DE7A1D">
        <w:rPr>
          <w:highlight w:val="yellow"/>
        </w:rPr>
        <w:t>:</w:t>
      </w:r>
      <w:r w:rsidR="00DE57A5" w:rsidRPr="00DE57A5">
        <w:rPr>
          <w:color w:val="auto"/>
          <w:highlight w:val="yellow"/>
        </w:rPr>
        <w:t>285</w:t>
      </w:r>
      <w:r w:rsidR="00DE57A5" w:rsidRPr="00DE57A5">
        <w:rPr>
          <w:color w:val="00B0F0"/>
          <w:highlight w:val="yellow"/>
        </w:rPr>
        <w:t>–</w:t>
      </w:r>
      <w:r w:rsidR="00DE57A5" w:rsidRPr="00DE57A5">
        <w:rPr>
          <w:color w:val="auto"/>
          <w:highlight w:val="yellow"/>
        </w:rPr>
        <w:t>93</w:t>
      </w:r>
      <w:r w:rsidRPr="00DE7A1D">
        <w:rPr>
          <w:highlight w:val="yellow"/>
        </w:rPr>
        <w:t>.</w:t>
      </w:r>
      <w:commentRangeEnd w:id="0"/>
      <w:r>
        <w:rPr>
          <w:rStyle w:val="CommentReference"/>
          <w:rFonts w:ascii="Times New Roman" w:hAnsi="Times New Roman" w:cs="Times New Roman"/>
          <w:color w:val="auto"/>
          <w:u w:color="000000"/>
          <w:lang w:val="en-US"/>
        </w:rPr>
        <w:commentReference w:id="0"/>
      </w:r>
    </w:p>
    <w:p w14:paraId="3ED36EBA" w14:textId="1A140999" w:rsidR="00DE7A1D" w:rsidRPr="00DE7A1D" w:rsidRDefault="00DE7A1D" w:rsidP="00DE7A1D">
      <w:pPr>
        <w:pStyle w:val="65ReferencesTextstylesTextstyles"/>
      </w:pPr>
      <w:r w:rsidRPr="00DE7A1D">
        <w:t>2.</w:t>
      </w:r>
      <w:r w:rsidR="00DE57A5">
        <w:tab/>
      </w:r>
      <w:r w:rsidR="00CE281F" w:rsidRPr="00DE7A1D">
        <w:t>Barker DJP. Fetal and infant origins of adult disease: BMJ Books; 1992.</w:t>
      </w:r>
    </w:p>
    <w:p w14:paraId="7FF75EF2" w14:textId="3C048219" w:rsidR="00DE7A1D" w:rsidRPr="00DE7A1D" w:rsidRDefault="00DE7A1D" w:rsidP="00DE7A1D">
      <w:pPr>
        <w:pStyle w:val="65ReferencesTextstylesTextstyles"/>
      </w:pPr>
      <w:r w:rsidRPr="00DE7A1D">
        <w:t>3.</w:t>
      </w:r>
      <w:r w:rsidR="00DE57A5">
        <w:tab/>
      </w:r>
      <w:r w:rsidR="00CE281F" w:rsidRPr="00DE7A1D">
        <w:t>Skinner JD, Carruth BR, Bounds W, Ziegler PJ. Children</w:t>
      </w:r>
      <w:r w:rsidR="00DE57A5" w:rsidRPr="00DE57A5">
        <w:t>’</w:t>
      </w:r>
      <w:r w:rsidR="00CE281F" w:rsidRPr="00DE7A1D">
        <w:t>s food preferences: a longitudinal analysis. Journal of the American Dietetic Association. 2002;102(11):1638-47.</w:t>
      </w:r>
    </w:p>
    <w:p w14:paraId="07C7B169" w14:textId="552F3D3A" w:rsidR="00DE7A1D" w:rsidRPr="00DE7A1D" w:rsidRDefault="00DE7A1D" w:rsidP="00DE7A1D">
      <w:pPr>
        <w:pStyle w:val="65ReferencesTextstylesTextstyles"/>
      </w:pPr>
      <w:r w:rsidRPr="00DE7A1D">
        <w:t>4.</w:t>
      </w:r>
      <w:r w:rsidR="00DE57A5">
        <w:tab/>
      </w:r>
      <w:r w:rsidR="00CE281F" w:rsidRPr="00DE7A1D">
        <w:t>Skinner JD, Carruth BR, Bounds W, Ziegler P, Reidy K. Do Food-Related Experiences in the First 2 Years of Life Predict Dietary Variety in School-Aged Children? Journal of Nutrition Education and Behavior. 2002;34(6):310-5.</w:t>
      </w:r>
    </w:p>
    <w:p w14:paraId="569F2369" w14:textId="46024800" w:rsidR="00DE7A1D" w:rsidRPr="00DE7A1D" w:rsidRDefault="00DE7A1D" w:rsidP="00DE7A1D">
      <w:pPr>
        <w:pStyle w:val="65ReferencesTextstylesTextstyles"/>
        <w:rPr>
          <w:highlight w:val="yellow"/>
        </w:rPr>
      </w:pPr>
      <w:commentRangeStart w:id="1"/>
      <w:r w:rsidRPr="00DE7A1D">
        <w:rPr>
          <w:highlight w:val="yellow"/>
        </w:rPr>
        <w:t>5.</w:t>
      </w:r>
      <w:r w:rsidRPr="00DE7A1D">
        <w:rPr>
          <w:highlight w:val="yellow"/>
        </w:rPr>
        <w:tab/>
        <w:t xml:space="preserve">Mishra GD, Prynne CJ, Paul AA, Greenberg DC, Bolton-Smith C. The impact of inter-generational social and regional circumstances on dietary intake patterns of British adults: results from the 1946 British Birth Cohort. </w:t>
      </w:r>
      <w:r w:rsidR="00DE57A5" w:rsidRPr="00DE57A5">
        <w:rPr>
          <w:i/>
          <w:highlight w:val="yellow"/>
        </w:rPr>
        <w:t>Public Health Nutr</w:t>
      </w:r>
      <w:r w:rsidRPr="00DE7A1D">
        <w:rPr>
          <w:highlight w:val="yellow"/>
        </w:rPr>
        <w:t xml:space="preserve"> 2004;</w:t>
      </w:r>
      <w:r w:rsidR="00DE57A5" w:rsidRPr="00DE57A5">
        <w:rPr>
          <w:b/>
          <w:highlight w:val="yellow"/>
        </w:rPr>
        <w:t>7</w:t>
      </w:r>
      <w:r w:rsidRPr="00DE7A1D">
        <w:rPr>
          <w:highlight w:val="yellow"/>
        </w:rPr>
        <w:t>:</w:t>
      </w:r>
      <w:r w:rsidR="00DE57A5" w:rsidRPr="00DE57A5">
        <w:rPr>
          <w:color w:val="auto"/>
          <w:highlight w:val="yellow"/>
        </w:rPr>
        <w:t>737</w:t>
      </w:r>
      <w:r w:rsidR="00DE57A5" w:rsidRPr="00DE57A5">
        <w:rPr>
          <w:color w:val="00B0F0"/>
          <w:highlight w:val="yellow"/>
        </w:rPr>
        <w:t>–</w:t>
      </w:r>
      <w:r w:rsidR="00DE57A5" w:rsidRPr="00DE57A5">
        <w:rPr>
          <w:color w:val="auto"/>
          <w:highlight w:val="yellow"/>
        </w:rPr>
        <w:t>44</w:t>
      </w:r>
      <w:r w:rsidRPr="00DE7A1D">
        <w:rPr>
          <w:highlight w:val="yellow"/>
        </w:rPr>
        <w:t>.</w:t>
      </w:r>
      <w:commentRangeEnd w:id="1"/>
      <w:r>
        <w:rPr>
          <w:rStyle w:val="CommentReference"/>
          <w:rFonts w:ascii="Times New Roman" w:hAnsi="Times New Roman" w:cs="Times New Roman"/>
          <w:color w:val="auto"/>
          <w:u w:color="000000"/>
          <w:lang w:val="en-US"/>
        </w:rPr>
        <w:commentReference w:id="1"/>
      </w:r>
    </w:p>
    <w:p w14:paraId="3B01051B" w14:textId="6090F147" w:rsidR="00DE7A1D" w:rsidRPr="00DE7A1D" w:rsidRDefault="00DE7A1D" w:rsidP="00DE7A1D">
      <w:pPr>
        <w:pStyle w:val="65ReferencesTextstylesTextstyles"/>
        <w:rPr>
          <w:highlight w:val="yellow"/>
        </w:rPr>
      </w:pPr>
      <w:commentRangeStart w:id="2"/>
      <w:r w:rsidRPr="00DE7A1D">
        <w:rPr>
          <w:highlight w:val="yellow"/>
        </w:rPr>
        <w:t>6.</w:t>
      </w:r>
      <w:r w:rsidRPr="00DE7A1D">
        <w:rPr>
          <w:highlight w:val="yellow"/>
        </w:rPr>
        <w:tab/>
        <w:t xml:space="preserve">Tseng M. Social circumstances and dietary intake. </w:t>
      </w:r>
      <w:r w:rsidR="00DE57A5" w:rsidRPr="00DE57A5">
        <w:rPr>
          <w:i/>
          <w:highlight w:val="yellow"/>
        </w:rPr>
        <w:t>Public Health Nutr</w:t>
      </w:r>
      <w:r w:rsidRPr="00DE7A1D">
        <w:rPr>
          <w:highlight w:val="yellow"/>
        </w:rPr>
        <w:t xml:space="preserve"> 2004;</w:t>
      </w:r>
      <w:r w:rsidR="00DE57A5" w:rsidRPr="00DE57A5">
        <w:rPr>
          <w:b/>
          <w:highlight w:val="yellow"/>
        </w:rPr>
        <w:t>7</w:t>
      </w:r>
      <w:r w:rsidRPr="00DE7A1D">
        <w:rPr>
          <w:highlight w:val="yellow"/>
        </w:rPr>
        <w:t>:</w:t>
      </w:r>
      <w:r w:rsidR="00DE57A5" w:rsidRPr="00DE57A5">
        <w:rPr>
          <w:color w:val="auto"/>
          <w:highlight w:val="yellow"/>
        </w:rPr>
        <w:t>695</w:t>
      </w:r>
      <w:r w:rsidR="00DE57A5" w:rsidRPr="00DE57A5">
        <w:rPr>
          <w:color w:val="00B0F0"/>
          <w:highlight w:val="yellow"/>
        </w:rPr>
        <w:t>–</w:t>
      </w:r>
      <w:r w:rsidR="00DE57A5" w:rsidRPr="00DE57A5">
        <w:rPr>
          <w:color w:val="auto"/>
          <w:highlight w:val="yellow"/>
        </w:rPr>
        <w:t>6</w:t>
      </w:r>
      <w:r w:rsidRPr="00DE7A1D">
        <w:rPr>
          <w:highlight w:val="yellow"/>
        </w:rPr>
        <w:t>.</w:t>
      </w:r>
      <w:commentRangeEnd w:id="2"/>
      <w:r>
        <w:rPr>
          <w:rStyle w:val="CommentReference"/>
          <w:rFonts w:ascii="Times New Roman" w:hAnsi="Times New Roman" w:cs="Times New Roman"/>
          <w:color w:val="auto"/>
          <w:u w:color="000000"/>
          <w:lang w:val="en-US"/>
        </w:rPr>
        <w:commentReference w:id="2"/>
      </w:r>
    </w:p>
    <w:p w14:paraId="296F3854" w14:textId="6DE5F20A" w:rsidR="00DE7A1D" w:rsidRPr="00DE7A1D" w:rsidRDefault="00DE7A1D" w:rsidP="00DE7A1D">
      <w:pPr>
        <w:pStyle w:val="65ReferencesTextstylesTextstyles"/>
      </w:pPr>
      <w:r w:rsidRPr="00DE7A1D">
        <w:t>7.</w:t>
      </w:r>
      <w:r w:rsidR="00DE57A5">
        <w:tab/>
      </w:r>
      <w:r w:rsidR="00CE281F" w:rsidRPr="00DE7A1D">
        <w:t>First 1000 days. First 1000 days https://thousanddays.org/ 2010 [</w:t>
      </w:r>
    </w:p>
    <w:p w14:paraId="215EF963" w14:textId="31D9248E" w:rsidR="00DE7A1D" w:rsidRPr="00DE7A1D" w:rsidRDefault="00DE7A1D" w:rsidP="00DE7A1D">
      <w:pPr>
        <w:pStyle w:val="65ReferencesTextstylesTextstyles"/>
      </w:pPr>
      <w:r w:rsidRPr="00DE7A1D">
        <w:t>8.</w:t>
      </w:r>
      <w:r w:rsidR="00DE57A5">
        <w:tab/>
      </w:r>
      <w:r w:rsidR="00CE281F" w:rsidRPr="00DE7A1D">
        <w:t>House of Commons Health and Social Care Committee. First 1000 days of life. Thirteenth Report of Session 2017–19. London: The Stationery Office Limited; 2019.</w:t>
      </w:r>
    </w:p>
    <w:p w14:paraId="24FA4E48" w14:textId="569A06D9" w:rsidR="00DE7A1D" w:rsidRPr="00DE7A1D" w:rsidRDefault="00DE7A1D" w:rsidP="00DE7A1D">
      <w:pPr>
        <w:pStyle w:val="65ReferencesTextstylesTextstyles"/>
      </w:pPr>
      <w:r w:rsidRPr="00DE7A1D">
        <w:t>9.</w:t>
      </w:r>
      <w:r w:rsidR="00DE57A5">
        <w:tab/>
      </w:r>
      <w:r w:rsidR="00CE281F" w:rsidRPr="00DE7A1D">
        <w:t>Marmot M. Fair Society, Healthy Lives. London: Institute of Health Equity; 2010.</w:t>
      </w:r>
    </w:p>
    <w:p w14:paraId="7949B220" w14:textId="64D8C0D4" w:rsidR="00DE7A1D" w:rsidRPr="00DE7A1D" w:rsidRDefault="00DE7A1D" w:rsidP="00DE7A1D">
      <w:pPr>
        <w:pStyle w:val="65ReferencesTextstylesTextstyles"/>
      </w:pPr>
      <w:r w:rsidRPr="00DE7A1D">
        <w:t>10.</w:t>
      </w:r>
      <w:r w:rsidR="00DE57A5">
        <w:tab/>
      </w:r>
      <w:r w:rsidR="00CE281F" w:rsidRPr="00DE7A1D">
        <w:t>Scottish Government Cabinet Secretary for Education and Skills. Getting it Right for Every Child (GIRFEC) https://www.gov.scot/policies/girfec/, : Scottish Government; 2018 [</w:t>
      </w:r>
    </w:p>
    <w:p w14:paraId="07ACE4F0" w14:textId="10BCA717" w:rsidR="00DE7A1D" w:rsidRPr="00DE7A1D" w:rsidRDefault="00DE7A1D" w:rsidP="00DE7A1D">
      <w:pPr>
        <w:pStyle w:val="65ReferencesTextstylesTextstyles"/>
      </w:pPr>
      <w:r w:rsidRPr="00DE7A1D">
        <w:t>11.</w:t>
      </w:r>
      <w:r w:rsidR="00DE57A5">
        <w:tab/>
      </w:r>
      <w:r w:rsidR="00CE281F" w:rsidRPr="00DE7A1D">
        <w:t>Chief Secretary to the Treasury. Every Child Matters. London: The Stationery Office; 2003.</w:t>
      </w:r>
    </w:p>
    <w:p w14:paraId="7E819623" w14:textId="5D8FE368" w:rsidR="00DE7A1D" w:rsidRPr="00DE7A1D" w:rsidRDefault="00DE7A1D" w:rsidP="00DE7A1D">
      <w:pPr>
        <w:pStyle w:val="65ReferencesTextstylesTextstyles"/>
      </w:pPr>
      <w:r w:rsidRPr="00DE7A1D">
        <w:t>12.</w:t>
      </w:r>
      <w:r w:rsidR="00DE57A5">
        <w:tab/>
      </w:r>
      <w:r w:rsidR="00CE281F" w:rsidRPr="00DE7A1D">
        <w:t>Welsh Government. An overview of the Healthy Child Wales Programme. 2016.</w:t>
      </w:r>
    </w:p>
    <w:p w14:paraId="115B9FB5" w14:textId="3CCD990D" w:rsidR="00DE7A1D" w:rsidRPr="00DE7A1D" w:rsidRDefault="00DE7A1D" w:rsidP="00DE7A1D">
      <w:pPr>
        <w:pStyle w:val="65ReferencesTextstylesTextstyles"/>
      </w:pPr>
      <w:r w:rsidRPr="00DE7A1D">
        <w:t>13.</w:t>
      </w:r>
      <w:r w:rsidR="00DE57A5">
        <w:tab/>
      </w:r>
      <w:r w:rsidR="00CE281F" w:rsidRPr="00DE7A1D">
        <w:t>Brownell M CM, Au W, Schultz J. Evaluation of the Health Baby Program. Winnipeg, MB: Manitoba Centre for Health Policy; 2010.</w:t>
      </w:r>
    </w:p>
    <w:p w14:paraId="55A561FC" w14:textId="3385235C" w:rsidR="00DE57A5" w:rsidRPr="00DE57A5" w:rsidRDefault="00DE57A5" w:rsidP="00DE7A1D">
      <w:pPr>
        <w:pStyle w:val="65ReferencesTextstylesTextstyles"/>
        <w:rPr>
          <w:highlight w:val="yellow"/>
        </w:rPr>
      </w:pPr>
      <w:commentRangeStart w:id="3"/>
      <w:r w:rsidRPr="00DE57A5">
        <w:rPr>
          <w:highlight w:val="yellow"/>
        </w:rPr>
        <w:t>14.</w:t>
      </w:r>
      <w:r w:rsidRPr="00DE57A5">
        <w:rPr>
          <w:highlight w:val="yellow"/>
        </w:rPr>
        <w:tab/>
        <w:t xml:space="preserve">Häggström J, Sampaio F, Eurenius E, Pulkki-Brännström AM, Ivarsson A, Lindkvist M, Feldman I. Is the Salut Programme an effective and cost-effective universal health promotion intervention for parents and their children? A register-based retrospective observational study. </w:t>
      </w:r>
      <w:r w:rsidRPr="00DE57A5">
        <w:rPr>
          <w:i/>
          <w:highlight w:val="yellow"/>
        </w:rPr>
        <w:t>BMJ Open</w:t>
      </w:r>
      <w:r w:rsidRPr="00DE57A5">
        <w:rPr>
          <w:highlight w:val="yellow"/>
        </w:rPr>
        <w:t xml:space="preserve"> 2017;</w:t>
      </w:r>
      <w:r w:rsidRPr="00DE57A5">
        <w:rPr>
          <w:b/>
          <w:highlight w:val="yellow"/>
        </w:rPr>
        <w:t>7</w:t>
      </w:r>
      <w:r w:rsidRPr="00DE57A5">
        <w:rPr>
          <w:highlight w:val="yellow"/>
        </w:rPr>
        <w:t>:</w:t>
      </w:r>
      <w:r w:rsidRPr="00DE57A5">
        <w:rPr>
          <w:color w:val="auto"/>
          <w:highlight w:val="yellow"/>
        </w:rPr>
        <w:t>e016732</w:t>
      </w:r>
      <w:r w:rsidRPr="00DE57A5">
        <w:rPr>
          <w:highlight w:val="yellow"/>
        </w:rPr>
        <w:t>. https://doi.org/10.1136/bmjopen-2017-016732</w:t>
      </w:r>
      <w:commentRangeEnd w:id="3"/>
      <w:r>
        <w:rPr>
          <w:rStyle w:val="CommentReference"/>
          <w:rFonts w:ascii="Times New Roman" w:hAnsi="Times New Roman" w:cs="Times New Roman"/>
          <w:color w:val="auto"/>
          <w:u w:color="000000"/>
          <w:lang w:val="en-US"/>
        </w:rPr>
        <w:commentReference w:id="3"/>
      </w:r>
    </w:p>
    <w:p w14:paraId="7E9FA520" w14:textId="509F9DD0" w:rsidR="00DE7A1D" w:rsidRPr="00DE7A1D" w:rsidRDefault="00DE7A1D" w:rsidP="00DE7A1D">
      <w:pPr>
        <w:pStyle w:val="65ReferencesTextstylesTextstyles"/>
      </w:pPr>
      <w:r w:rsidRPr="00DE7A1D">
        <w:t>15.</w:t>
      </w:r>
      <w:r w:rsidR="00DE57A5">
        <w:tab/>
      </w:r>
      <w:r w:rsidR="00CE281F" w:rsidRPr="00DE7A1D">
        <w:t>People. SGMfCaY. Early learning and childcare (ELC) https://www.gov.scot/policies/early-education-and-care/elc-for-two-year-old-children/ 2015 [</w:t>
      </w:r>
    </w:p>
    <w:p w14:paraId="77FA623E" w14:textId="484D2B86" w:rsidR="00DE7A1D" w:rsidRPr="00DE7A1D" w:rsidRDefault="00DE7A1D" w:rsidP="00DE7A1D">
      <w:pPr>
        <w:pStyle w:val="65ReferencesTextstylesTextstyles"/>
      </w:pPr>
      <w:r w:rsidRPr="00DE7A1D">
        <w:t>16.</w:t>
      </w:r>
      <w:r w:rsidR="00DE57A5">
        <w:tab/>
      </w:r>
      <w:r w:rsidR="00CE281F" w:rsidRPr="00DE7A1D">
        <w:t>Government H. Childcare choices https://www.childcarechoices.gov.uk/ 2018 [</w:t>
      </w:r>
    </w:p>
    <w:p w14:paraId="6BB03697" w14:textId="2B877B94" w:rsidR="00DE7A1D" w:rsidRPr="00DE7A1D" w:rsidRDefault="00DE7A1D" w:rsidP="00DE7A1D">
      <w:pPr>
        <w:pStyle w:val="65ReferencesTextstylesTextstyles"/>
      </w:pPr>
      <w:r w:rsidRPr="00DE7A1D">
        <w:t>17.</w:t>
      </w:r>
      <w:r w:rsidR="00DE57A5">
        <w:tab/>
      </w:r>
      <w:r w:rsidR="00CE281F" w:rsidRPr="00DE7A1D">
        <w:t>Department of Health. http://www.healthystart.nhs.uk/  [</w:t>
      </w:r>
    </w:p>
    <w:p w14:paraId="2E0B2C33" w14:textId="1D1FA325" w:rsidR="00DE7A1D" w:rsidRPr="00DE7A1D" w:rsidRDefault="00DE7A1D" w:rsidP="00DE7A1D">
      <w:pPr>
        <w:pStyle w:val="65ReferencesTextstylesTextstyles"/>
      </w:pPr>
      <w:r w:rsidRPr="00DE7A1D">
        <w:t>18.</w:t>
      </w:r>
      <w:r w:rsidR="00DE57A5">
        <w:tab/>
      </w:r>
      <w:r w:rsidR="00CE281F" w:rsidRPr="00DE7A1D">
        <w:t>Government S. Scotland</w:t>
      </w:r>
      <w:r w:rsidR="00DE57A5" w:rsidRPr="00DE57A5">
        <w:t>’</w:t>
      </w:r>
      <w:r w:rsidR="00CE281F" w:rsidRPr="00DE7A1D">
        <w:t>s Baby Box - parents</w:t>
      </w:r>
      <w:r w:rsidR="00DE57A5" w:rsidRPr="00DE57A5">
        <w:t>’</w:t>
      </w:r>
      <w:r w:rsidR="00CE281F" w:rsidRPr="00DE7A1D">
        <w:t xml:space="preserve"> views on contents. Edinburgh: Scottish Government; 2017.</w:t>
      </w:r>
    </w:p>
    <w:p w14:paraId="320D0D2A" w14:textId="7EE46B00" w:rsidR="00DE7A1D" w:rsidRPr="00DE7A1D" w:rsidRDefault="00DE7A1D" w:rsidP="00DE7A1D">
      <w:pPr>
        <w:pStyle w:val="65ReferencesTextstylesTextstyles"/>
      </w:pPr>
      <w:r w:rsidRPr="00DE7A1D">
        <w:t>19.</w:t>
      </w:r>
      <w:r w:rsidR="00DE57A5">
        <w:tab/>
      </w:r>
      <w:r w:rsidR="00CE281F" w:rsidRPr="00DE7A1D">
        <w:t>House of Commons Health Committee. Health inequalities. Third report of session 2008-09. London: The Stationery Office Limited; 2009.</w:t>
      </w:r>
    </w:p>
    <w:p w14:paraId="68448ECE" w14:textId="775551ED" w:rsidR="00DE7A1D" w:rsidRPr="00DE7A1D" w:rsidRDefault="00DE7A1D" w:rsidP="00DE7A1D">
      <w:pPr>
        <w:pStyle w:val="65ReferencesTextstylesTextstyles"/>
      </w:pPr>
      <w:r w:rsidRPr="00DE7A1D">
        <w:t>20.</w:t>
      </w:r>
      <w:r w:rsidR="00DE57A5">
        <w:tab/>
      </w:r>
      <w:r w:rsidR="00CE281F" w:rsidRPr="00DE7A1D">
        <w:t>McAndrew F, Thompson J, Fellows L, Large A, Speed M, Renfrew MJ. Infant Feeding Survey 2010. 2012.</w:t>
      </w:r>
    </w:p>
    <w:p w14:paraId="6993D45F" w14:textId="4BDAD700" w:rsidR="00DE7A1D" w:rsidRPr="00DE7A1D" w:rsidRDefault="00DE7A1D" w:rsidP="00DE7A1D">
      <w:pPr>
        <w:pStyle w:val="65ReferencesTextstylesTextstyles"/>
      </w:pPr>
      <w:r w:rsidRPr="00DE7A1D">
        <w:t>21.</w:t>
      </w:r>
      <w:r w:rsidR="00DE57A5">
        <w:tab/>
      </w:r>
      <w:r w:rsidR="00CE281F" w:rsidRPr="00DE7A1D">
        <w:t>Hansard HC W. 25 Jun 2014 : Column 243W. 2014.</w:t>
      </w:r>
    </w:p>
    <w:p w14:paraId="31DB518D" w14:textId="5F1A5398" w:rsidR="00DE7A1D" w:rsidRPr="00DE7A1D" w:rsidRDefault="00DE7A1D" w:rsidP="00DE7A1D">
      <w:pPr>
        <w:pStyle w:val="65ReferencesTextstylesTextstyles"/>
      </w:pPr>
      <w:r w:rsidRPr="00DE7A1D">
        <w:t>22.</w:t>
      </w:r>
      <w:r w:rsidR="00DE57A5">
        <w:tab/>
      </w:r>
      <w:r w:rsidR="00CE281F" w:rsidRPr="00DE7A1D">
        <w:t>Department of Health. Reform of the Welfare Food Scheme, London. 2002.</w:t>
      </w:r>
    </w:p>
    <w:p w14:paraId="20636EE9" w14:textId="15AA4FD9" w:rsidR="00DE57A5" w:rsidRPr="00DE57A5" w:rsidRDefault="00DE57A5" w:rsidP="00DE7A1D">
      <w:pPr>
        <w:pStyle w:val="65ReferencesTextstylesTextstyles"/>
        <w:rPr>
          <w:highlight w:val="yellow"/>
        </w:rPr>
      </w:pPr>
      <w:commentRangeStart w:id="4"/>
      <w:r w:rsidRPr="00DE57A5">
        <w:rPr>
          <w:highlight w:val="yellow"/>
        </w:rPr>
        <w:t>23.</w:t>
      </w:r>
      <w:r w:rsidRPr="00DE57A5">
        <w:rPr>
          <w:highlight w:val="yellow"/>
        </w:rPr>
        <w:tab/>
        <w:t xml:space="preserve">Ford FA, Mouratidou T, Wademan SE, Fraser RB. Effect of the introduction of ‘Healthy Start’ on dietary behaviour during and after pregnancy: early results from the ‘before and after’ </w:t>
      </w:r>
      <w:r w:rsidRPr="00DE57A5">
        <w:rPr>
          <w:highlight w:val="yellow"/>
        </w:rPr>
        <w:lastRenderedPageBreak/>
        <w:t xml:space="preserve">Sheffield study. </w:t>
      </w:r>
      <w:r w:rsidRPr="00DE57A5">
        <w:rPr>
          <w:i/>
          <w:highlight w:val="yellow"/>
        </w:rPr>
        <w:t>Br J Nutr</w:t>
      </w:r>
      <w:r w:rsidRPr="00DE57A5">
        <w:rPr>
          <w:highlight w:val="yellow"/>
        </w:rPr>
        <w:t xml:space="preserve"> 2009;</w:t>
      </w:r>
      <w:r w:rsidRPr="00DE57A5">
        <w:rPr>
          <w:b/>
          <w:highlight w:val="yellow"/>
        </w:rPr>
        <w:t>101</w:t>
      </w:r>
      <w:r w:rsidRPr="00DE57A5">
        <w:rPr>
          <w:highlight w:val="yellow"/>
        </w:rPr>
        <w:t>:</w:t>
      </w:r>
      <w:r w:rsidRPr="00DE57A5">
        <w:rPr>
          <w:color w:val="auto"/>
          <w:highlight w:val="yellow"/>
        </w:rPr>
        <w:t>1828</w:t>
      </w:r>
      <w:r w:rsidRPr="00DE57A5">
        <w:rPr>
          <w:color w:val="00B0F0"/>
          <w:highlight w:val="yellow"/>
        </w:rPr>
        <w:t>–</w:t>
      </w:r>
      <w:r w:rsidRPr="00DE57A5">
        <w:rPr>
          <w:color w:val="auto"/>
          <w:highlight w:val="yellow"/>
        </w:rPr>
        <w:t>36</w:t>
      </w:r>
      <w:r w:rsidRPr="00DE57A5">
        <w:rPr>
          <w:highlight w:val="yellow"/>
        </w:rPr>
        <w:t>. https://doi.org/10.1017/S0007114508135899</w:t>
      </w:r>
      <w:commentRangeEnd w:id="4"/>
      <w:r>
        <w:rPr>
          <w:rStyle w:val="CommentReference"/>
          <w:rFonts w:ascii="Times New Roman" w:hAnsi="Times New Roman" w:cs="Times New Roman"/>
          <w:color w:val="auto"/>
          <w:u w:color="000000"/>
          <w:lang w:val="en-US"/>
        </w:rPr>
        <w:commentReference w:id="4"/>
      </w:r>
    </w:p>
    <w:p w14:paraId="3C741D2F" w14:textId="41C5FFFD" w:rsidR="00DE57A5" w:rsidRPr="00DE57A5" w:rsidRDefault="00DE57A5" w:rsidP="00DE7A1D">
      <w:pPr>
        <w:pStyle w:val="65ReferencesTextstylesTextstyles"/>
        <w:rPr>
          <w:highlight w:val="yellow"/>
        </w:rPr>
      </w:pPr>
      <w:commentRangeStart w:id="5"/>
      <w:commentRangeStart w:id="6"/>
      <w:r w:rsidRPr="00DE57A5">
        <w:rPr>
          <w:highlight w:val="yellow"/>
        </w:rPr>
        <w:t>24.</w:t>
      </w:r>
      <w:r w:rsidRPr="00DE57A5">
        <w:rPr>
          <w:highlight w:val="yellow"/>
        </w:rPr>
        <w:tab/>
        <w:t xml:space="preserve">Mouratidou T, Ford FA, Wademan SE, Fraser RB. Are the benefits of the ‘Healthy Start’ food support scheme sustained at three months postpartum? Results from the Sheffield ‘before and after’ study. </w:t>
      </w:r>
      <w:r w:rsidRPr="00DE57A5">
        <w:rPr>
          <w:i/>
          <w:highlight w:val="yellow"/>
        </w:rPr>
        <w:t>Matern Child Nutr</w:t>
      </w:r>
      <w:r w:rsidRPr="00DE57A5">
        <w:rPr>
          <w:highlight w:val="yellow"/>
        </w:rPr>
        <w:t xml:space="preserve"> 2010;</w:t>
      </w:r>
      <w:r w:rsidRPr="00DE57A5">
        <w:rPr>
          <w:b/>
          <w:highlight w:val="yellow"/>
        </w:rPr>
        <w:t>6</w:t>
      </w:r>
      <w:r w:rsidRPr="00DE57A5">
        <w:rPr>
          <w:highlight w:val="yellow"/>
        </w:rPr>
        <w:t>:</w:t>
      </w:r>
      <w:r w:rsidRPr="00DE57A5">
        <w:rPr>
          <w:color w:val="auto"/>
          <w:highlight w:val="yellow"/>
        </w:rPr>
        <w:t>347</w:t>
      </w:r>
      <w:r w:rsidRPr="00DE57A5">
        <w:rPr>
          <w:color w:val="00B0F0"/>
          <w:highlight w:val="yellow"/>
        </w:rPr>
        <w:t>–</w:t>
      </w:r>
      <w:r w:rsidRPr="00DE57A5">
        <w:rPr>
          <w:color w:val="auto"/>
          <w:highlight w:val="yellow"/>
        </w:rPr>
        <w:t>57</w:t>
      </w:r>
      <w:r w:rsidRPr="00DE57A5">
        <w:rPr>
          <w:highlight w:val="yellow"/>
        </w:rPr>
        <w:t>. https://doi.org/10.1111/j.1740-8709.2009.00215.x</w:t>
      </w:r>
      <w:commentRangeEnd w:id="5"/>
      <w:r>
        <w:rPr>
          <w:rStyle w:val="CommentReference"/>
          <w:rFonts w:ascii="Times New Roman" w:hAnsi="Times New Roman" w:cs="Times New Roman"/>
          <w:color w:val="auto"/>
          <w:u w:color="000000"/>
          <w:lang w:val="en-US"/>
        </w:rPr>
        <w:commentReference w:id="5"/>
      </w:r>
      <w:commentRangeEnd w:id="6"/>
      <w:r>
        <w:rPr>
          <w:rStyle w:val="CommentReference"/>
          <w:rFonts w:ascii="Times New Roman" w:hAnsi="Times New Roman" w:cs="Times New Roman"/>
          <w:color w:val="auto"/>
          <w:u w:color="000000"/>
          <w:lang w:val="en-US"/>
        </w:rPr>
        <w:commentReference w:id="6"/>
      </w:r>
    </w:p>
    <w:p w14:paraId="3793152B" w14:textId="63FA63AD" w:rsidR="00DE57A5" w:rsidRPr="00DE57A5" w:rsidRDefault="00DE57A5" w:rsidP="00DE7A1D">
      <w:pPr>
        <w:pStyle w:val="65ReferencesTextstylesTextstyles"/>
        <w:rPr>
          <w:highlight w:val="yellow"/>
        </w:rPr>
      </w:pPr>
      <w:commentRangeStart w:id="7"/>
      <w:r w:rsidRPr="00DE57A5">
        <w:rPr>
          <w:highlight w:val="yellow"/>
        </w:rPr>
        <w:t>25.</w:t>
      </w:r>
      <w:r w:rsidRPr="00DE57A5">
        <w:rPr>
          <w:highlight w:val="yellow"/>
        </w:rPr>
        <w:tab/>
        <w:t xml:space="preserve">McFadden A, Green JM, Williams V, McLeish J, McCormick F, Fox-Rushby J, Renfrew MJ. Can food vouchers improve nutrition and reduce health inequalities in low-income mothers and young children: a multi-method evaluation of the experiences of beneficiaries and practitioners of the Healthy Start programme in England. </w:t>
      </w:r>
      <w:r w:rsidRPr="00DE57A5">
        <w:rPr>
          <w:i/>
          <w:highlight w:val="yellow"/>
        </w:rPr>
        <w:t>BMC Public Health</w:t>
      </w:r>
      <w:r w:rsidRPr="00DE57A5">
        <w:rPr>
          <w:highlight w:val="yellow"/>
        </w:rPr>
        <w:t xml:space="preserve"> 2014;</w:t>
      </w:r>
      <w:r w:rsidRPr="00DE57A5">
        <w:rPr>
          <w:b/>
          <w:highlight w:val="yellow"/>
        </w:rPr>
        <w:t>14</w:t>
      </w:r>
      <w:r w:rsidRPr="00DE57A5">
        <w:rPr>
          <w:highlight w:val="yellow"/>
        </w:rPr>
        <w:t>:</w:t>
      </w:r>
      <w:r w:rsidRPr="00DE57A5">
        <w:rPr>
          <w:color w:val="auto"/>
          <w:highlight w:val="yellow"/>
        </w:rPr>
        <w:t>148</w:t>
      </w:r>
      <w:r w:rsidRPr="00DE57A5">
        <w:rPr>
          <w:highlight w:val="yellow"/>
        </w:rPr>
        <w:t>. https://doi.org/10.1186/1471-2458-14-148</w:t>
      </w:r>
      <w:commentRangeEnd w:id="7"/>
      <w:r>
        <w:rPr>
          <w:rStyle w:val="CommentReference"/>
          <w:rFonts w:ascii="Times New Roman" w:hAnsi="Times New Roman" w:cs="Times New Roman"/>
          <w:color w:val="auto"/>
          <w:u w:color="000000"/>
          <w:lang w:val="en-US"/>
        </w:rPr>
        <w:commentReference w:id="7"/>
      </w:r>
    </w:p>
    <w:p w14:paraId="4C80F07B" w14:textId="25008353" w:rsidR="00DE57A5" w:rsidRPr="00DE57A5" w:rsidRDefault="00DE57A5" w:rsidP="00DE7A1D">
      <w:pPr>
        <w:pStyle w:val="65ReferencesTextstylesTextstyles"/>
        <w:rPr>
          <w:highlight w:val="yellow"/>
        </w:rPr>
      </w:pPr>
      <w:commentRangeStart w:id="8"/>
      <w:r w:rsidRPr="00DE57A5">
        <w:rPr>
          <w:highlight w:val="yellow"/>
        </w:rPr>
        <w:t>26.</w:t>
      </w:r>
      <w:r w:rsidRPr="00DE57A5">
        <w:rPr>
          <w:highlight w:val="yellow"/>
        </w:rPr>
        <w:tab/>
        <w:t xml:space="preserve">Scantlebury RJ, Moody A, Oyebode O, Mindell JS. Has the UK Healthy Start voucher scheme been associated with an increased fruit and vegetable intake among target families? Analysis of Health Survey for England data, 2001-2014. </w:t>
      </w:r>
      <w:r w:rsidRPr="00DE57A5">
        <w:rPr>
          <w:i/>
          <w:highlight w:val="yellow"/>
        </w:rPr>
        <w:t>J Epidemiol Community Health</w:t>
      </w:r>
      <w:r w:rsidRPr="00DE57A5">
        <w:rPr>
          <w:highlight w:val="yellow"/>
        </w:rPr>
        <w:t xml:space="preserve"> 2018;</w:t>
      </w:r>
      <w:r w:rsidRPr="00DE57A5">
        <w:rPr>
          <w:b/>
          <w:highlight w:val="yellow"/>
        </w:rPr>
        <w:t>72</w:t>
      </w:r>
      <w:r w:rsidRPr="00DE57A5">
        <w:rPr>
          <w:highlight w:val="yellow"/>
        </w:rPr>
        <w:t>:</w:t>
      </w:r>
      <w:r w:rsidRPr="00DE57A5">
        <w:rPr>
          <w:color w:val="auto"/>
          <w:highlight w:val="yellow"/>
        </w:rPr>
        <w:t>623</w:t>
      </w:r>
      <w:r>
        <w:rPr>
          <w:color w:val="00B0F0"/>
          <w:highlight w:val="yellow"/>
        </w:rPr>
        <w:t>–</w:t>
      </w:r>
      <w:r w:rsidRPr="00DE57A5">
        <w:rPr>
          <w:color w:val="auto"/>
          <w:highlight w:val="yellow"/>
        </w:rPr>
        <w:t>9</w:t>
      </w:r>
      <w:r w:rsidRPr="00DE57A5">
        <w:rPr>
          <w:highlight w:val="yellow"/>
        </w:rPr>
        <w:t>. https://doi.org/10.1136/jech-2017-209954</w:t>
      </w:r>
      <w:commentRangeEnd w:id="8"/>
      <w:r>
        <w:rPr>
          <w:rStyle w:val="CommentReference"/>
          <w:rFonts w:ascii="Times New Roman" w:hAnsi="Times New Roman" w:cs="Times New Roman"/>
          <w:color w:val="auto"/>
          <w:u w:color="000000"/>
          <w:lang w:val="en-US"/>
        </w:rPr>
        <w:commentReference w:id="8"/>
      </w:r>
    </w:p>
    <w:p w14:paraId="0C164677" w14:textId="4D92E2AD" w:rsidR="00DE7A1D" w:rsidRPr="00DE7A1D" w:rsidRDefault="00DE7A1D" w:rsidP="00DE7A1D">
      <w:pPr>
        <w:pStyle w:val="65ReferencesTextstylesTextstyles"/>
      </w:pPr>
      <w:r w:rsidRPr="00DE7A1D">
        <w:t>27.</w:t>
      </w:r>
      <w:r w:rsidR="00DE57A5">
        <w:tab/>
      </w:r>
      <w:r w:rsidR="00CE281F" w:rsidRPr="00DE7A1D">
        <w:t>McFadden A, Fox-Rushby J, Green JM, Williams V, Pokhrel S, McLeish J, et al. Healthy Start, UNDERSTANDING THE USE OF VOUCHERS AND VITAMINS. London: Department of Health; 2013.</w:t>
      </w:r>
    </w:p>
    <w:p w14:paraId="2674F11C" w14:textId="2F72C142" w:rsidR="00DE7A1D" w:rsidRPr="00DE7A1D" w:rsidRDefault="00DE7A1D" w:rsidP="00DE7A1D">
      <w:pPr>
        <w:pStyle w:val="65ReferencesTextstylesTextstyles"/>
      </w:pPr>
      <w:r w:rsidRPr="00DE7A1D">
        <w:t>28.</w:t>
      </w:r>
      <w:r w:rsidR="00DE57A5">
        <w:tab/>
      </w:r>
      <w:r w:rsidR="00CE281F" w:rsidRPr="00DE7A1D">
        <w:t>Health Do. Scientific review of the Welfare Food Scheme. London: The Stationery Office; 2002.</w:t>
      </w:r>
    </w:p>
    <w:p w14:paraId="34467C73" w14:textId="7344041B" w:rsidR="00DE57A5" w:rsidRPr="00DE57A5" w:rsidRDefault="00DE57A5" w:rsidP="00DE7A1D">
      <w:pPr>
        <w:pStyle w:val="65ReferencesTextstylesTextstyles"/>
        <w:rPr>
          <w:highlight w:val="yellow"/>
        </w:rPr>
      </w:pPr>
      <w:commentRangeStart w:id="9"/>
      <w:r w:rsidRPr="00DE57A5">
        <w:rPr>
          <w:highlight w:val="yellow"/>
        </w:rPr>
        <w:t>29.</w:t>
      </w:r>
      <w:r w:rsidRPr="00DE57A5">
        <w:rPr>
          <w:highlight w:val="yellow"/>
        </w:rPr>
        <w:tab/>
        <w:t xml:space="preserve">Craig P, Cooper C, Gunnell D, Haw S, Lawson K, Macintyre S, </w:t>
      </w:r>
      <w:r w:rsidRPr="00DE57A5">
        <w:rPr>
          <w:i/>
          <w:highlight w:val="yellow"/>
        </w:rPr>
        <w:t>et al</w:t>
      </w:r>
      <w:r w:rsidRPr="00DE57A5">
        <w:rPr>
          <w:highlight w:val="yellow"/>
        </w:rPr>
        <w:t xml:space="preserve">. Using natural experiments to evaluate population health interventions: new Medical Research Council guidance. </w:t>
      </w:r>
      <w:r w:rsidRPr="00DE57A5">
        <w:rPr>
          <w:i/>
          <w:highlight w:val="yellow"/>
        </w:rPr>
        <w:t>J Epidemiol Community Health</w:t>
      </w:r>
      <w:r w:rsidRPr="00DE57A5">
        <w:rPr>
          <w:highlight w:val="yellow"/>
        </w:rPr>
        <w:t xml:space="preserve"> 2012;</w:t>
      </w:r>
      <w:r w:rsidRPr="00DE57A5">
        <w:rPr>
          <w:b/>
          <w:highlight w:val="yellow"/>
        </w:rPr>
        <w:t>66</w:t>
      </w:r>
      <w:r w:rsidRPr="00DE57A5">
        <w:rPr>
          <w:highlight w:val="yellow"/>
        </w:rPr>
        <w:t>:</w:t>
      </w:r>
      <w:r w:rsidRPr="00DE57A5">
        <w:rPr>
          <w:color w:val="auto"/>
          <w:highlight w:val="yellow"/>
        </w:rPr>
        <w:t>1182</w:t>
      </w:r>
      <w:r w:rsidRPr="00DE57A5">
        <w:rPr>
          <w:color w:val="00B0F0"/>
          <w:highlight w:val="yellow"/>
        </w:rPr>
        <w:t>–</w:t>
      </w:r>
      <w:r w:rsidRPr="00DE57A5">
        <w:rPr>
          <w:color w:val="auto"/>
          <w:highlight w:val="yellow"/>
        </w:rPr>
        <w:t>6</w:t>
      </w:r>
      <w:r w:rsidRPr="00DE57A5">
        <w:rPr>
          <w:highlight w:val="yellow"/>
        </w:rPr>
        <w:t>. https://doi.org/10.1136/jech-2011-200375</w:t>
      </w:r>
      <w:commentRangeEnd w:id="9"/>
      <w:r>
        <w:rPr>
          <w:rStyle w:val="CommentReference"/>
          <w:rFonts w:ascii="Times New Roman" w:hAnsi="Times New Roman" w:cs="Times New Roman"/>
          <w:color w:val="auto"/>
          <w:u w:color="000000"/>
          <w:lang w:val="en-US"/>
        </w:rPr>
        <w:commentReference w:id="9"/>
      </w:r>
    </w:p>
    <w:p w14:paraId="3CE9C0A9" w14:textId="4AFF3681" w:rsidR="00DE7A1D" w:rsidRPr="00DE7A1D" w:rsidRDefault="00DE7A1D" w:rsidP="00DE7A1D">
      <w:pPr>
        <w:pStyle w:val="65ReferencesTextstylesTextstyles"/>
      </w:pPr>
      <w:r w:rsidRPr="00DE7A1D">
        <w:t>30.</w:t>
      </w:r>
      <w:r w:rsidR="00DE57A5">
        <w:tab/>
      </w:r>
      <w:r w:rsidR="00CE281F" w:rsidRPr="00DE7A1D">
        <w:t>Dyson L, Renfrew MJ, Jenkins R, Thomas J, McCormick F, Pearce A, et al. Approaches to evaluating Healthy Start – a scoping review York: Mother and Infant Research Unit, Public Health Research Consortium; 2007.</w:t>
      </w:r>
    </w:p>
    <w:p w14:paraId="45B3CD75" w14:textId="526D9843" w:rsidR="00DE7A1D" w:rsidRPr="00DE7A1D" w:rsidRDefault="00DE7A1D" w:rsidP="00DE7A1D">
      <w:pPr>
        <w:pStyle w:val="65ReferencesTextstylesTextstyles"/>
      </w:pPr>
      <w:r w:rsidRPr="00DE7A1D">
        <w:t>31.</w:t>
      </w:r>
      <w:r w:rsidR="00DE57A5">
        <w:tab/>
      </w:r>
      <w:r w:rsidR="00CE281F" w:rsidRPr="00DE7A1D">
        <w:t>Imbens GW, Lemieux T. Regression discontinuity designs: a guide to practice. Journal of econometrics. 2008;142(2):615-35.</w:t>
      </w:r>
    </w:p>
    <w:p w14:paraId="4BDE34B6" w14:textId="508FB2EC" w:rsidR="00DE57A5" w:rsidRPr="00DE57A5" w:rsidRDefault="00DE57A5" w:rsidP="00DE7A1D">
      <w:pPr>
        <w:pStyle w:val="65ReferencesTextstylesTextstyles"/>
        <w:rPr>
          <w:highlight w:val="yellow"/>
        </w:rPr>
      </w:pPr>
      <w:commentRangeStart w:id="10"/>
      <w:commentRangeStart w:id="11"/>
      <w:commentRangeStart w:id="12"/>
      <w:r w:rsidRPr="00DE57A5">
        <w:rPr>
          <w:highlight w:val="yellow"/>
        </w:rPr>
        <w:t>32.</w:t>
      </w:r>
      <w:r w:rsidRPr="00DE57A5">
        <w:rPr>
          <w:highlight w:val="yellow"/>
        </w:rPr>
        <w:tab/>
        <w:t xml:space="preserve">Bansal N, Chalmers JW, Fischbacher CM, Steiner MF, Bhopal RS, Scottish Health and Ethnicity Linkage Study. Ethnicity and first birth: age, smoking, delivery, gestation, weight and feeding: Scottish Health and Ethnicity Linkage Study. </w:t>
      </w:r>
      <w:r w:rsidRPr="00DE57A5">
        <w:rPr>
          <w:i/>
          <w:highlight w:val="yellow"/>
        </w:rPr>
        <w:t>Eur J Public Health</w:t>
      </w:r>
      <w:r w:rsidRPr="00DE57A5">
        <w:rPr>
          <w:highlight w:val="yellow"/>
        </w:rPr>
        <w:t xml:space="preserve"> 2014;</w:t>
      </w:r>
      <w:r w:rsidRPr="00DE57A5">
        <w:rPr>
          <w:b/>
          <w:highlight w:val="yellow"/>
        </w:rPr>
        <w:t>24</w:t>
      </w:r>
      <w:r w:rsidRPr="00DE57A5">
        <w:rPr>
          <w:highlight w:val="yellow"/>
        </w:rPr>
        <w:t>:</w:t>
      </w:r>
      <w:r w:rsidRPr="00DE57A5">
        <w:rPr>
          <w:color w:val="auto"/>
          <w:highlight w:val="yellow"/>
        </w:rPr>
        <w:t>911</w:t>
      </w:r>
      <w:r>
        <w:rPr>
          <w:color w:val="00B0F0"/>
          <w:highlight w:val="yellow"/>
        </w:rPr>
        <w:t>–</w:t>
      </w:r>
      <w:r w:rsidRPr="00DE57A5">
        <w:rPr>
          <w:color w:val="auto"/>
          <w:highlight w:val="yellow"/>
        </w:rPr>
        <w:t>16</w:t>
      </w:r>
      <w:r w:rsidRPr="00DE57A5">
        <w:rPr>
          <w:highlight w:val="yellow"/>
        </w:rPr>
        <w:t>. https://doi.org/10.1093/eurpub/cku059</w:t>
      </w:r>
      <w:commentRangeEnd w:id="10"/>
      <w:r>
        <w:rPr>
          <w:rStyle w:val="CommentReference"/>
          <w:rFonts w:ascii="Times New Roman" w:hAnsi="Times New Roman" w:cs="Times New Roman"/>
          <w:color w:val="auto"/>
          <w:u w:color="000000"/>
          <w:lang w:val="en-US"/>
        </w:rPr>
        <w:commentReference w:id="10"/>
      </w:r>
      <w:commentRangeEnd w:id="11"/>
      <w:r>
        <w:rPr>
          <w:rStyle w:val="CommentReference"/>
          <w:rFonts w:ascii="Times New Roman" w:hAnsi="Times New Roman" w:cs="Times New Roman"/>
          <w:color w:val="auto"/>
          <w:u w:color="000000"/>
          <w:lang w:val="en-US"/>
        </w:rPr>
        <w:commentReference w:id="11"/>
      </w:r>
      <w:commentRangeEnd w:id="12"/>
      <w:r>
        <w:rPr>
          <w:rStyle w:val="CommentReference"/>
          <w:rFonts w:ascii="Times New Roman" w:hAnsi="Times New Roman" w:cs="Times New Roman"/>
          <w:color w:val="auto"/>
          <w:u w:color="000000"/>
          <w:lang w:val="en-US"/>
        </w:rPr>
        <w:commentReference w:id="12"/>
      </w:r>
    </w:p>
    <w:p w14:paraId="4048E64F" w14:textId="63163025" w:rsidR="00DE7A1D" w:rsidRPr="00DE7A1D" w:rsidRDefault="00DE7A1D" w:rsidP="00DE7A1D">
      <w:pPr>
        <w:pStyle w:val="65ReferencesTextstylesTextstyles"/>
      </w:pPr>
      <w:r w:rsidRPr="00DE7A1D">
        <w:t>33.</w:t>
      </w:r>
      <w:r w:rsidR="00DE57A5">
        <w:tab/>
      </w:r>
      <w:r w:rsidR="00CE281F" w:rsidRPr="00DE7A1D">
        <w:t>Statistician. OotC. Scottish index of multiple deprivation 2012 http://simd.scotland.gov.uk/ 2012 [</w:t>
      </w:r>
    </w:p>
    <w:p w14:paraId="0385F753" w14:textId="2E76E517" w:rsidR="00DE7A1D" w:rsidRPr="00DE7A1D" w:rsidRDefault="00DE7A1D" w:rsidP="00DE7A1D">
      <w:pPr>
        <w:pStyle w:val="65ReferencesTextstylesTextstyles"/>
      </w:pPr>
      <w:r w:rsidRPr="00DE7A1D">
        <w:t>34.</w:t>
      </w:r>
      <w:r w:rsidR="00DE57A5">
        <w:tab/>
      </w:r>
      <w:r w:rsidR="00CE281F" w:rsidRPr="00DE7A1D">
        <w:t>Government. DfCaL. English indices of deprivation  https://www.gov.uk/government/statistics/ 2010 [</w:t>
      </w:r>
    </w:p>
    <w:p w14:paraId="22C35B02" w14:textId="76E9AD65" w:rsidR="00DE7A1D" w:rsidRPr="00DE7A1D" w:rsidRDefault="00DE7A1D" w:rsidP="00DE7A1D">
      <w:pPr>
        <w:pStyle w:val="65ReferencesTextstylesTextstyles"/>
      </w:pPr>
      <w:r w:rsidRPr="00DE7A1D">
        <w:t>35.</w:t>
      </w:r>
      <w:r w:rsidR="00DE57A5">
        <w:tab/>
      </w:r>
      <w:r w:rsidR="00CE281F" w:rsidRPr="00DE7A1D">
        <w:t>2010. NISaRA. Northern Ireland multiple deprivation measure http://www.nisra.gov.uk/deprivation/nimdm_2010.htm [</w:t>
      </w:r>
    </w:p>
    <w:p w14:paraId="49647849" w14:textId="1709ED7D" w:rsidR="00DE7A1D" w:rsidRPr="00DE7A1D" w:rsidRDefault="00DE7A1D" w:rsidP="00DE7A1D">
      <w:pPr>
        <w:pStyle w:val="65ReferencesTextstylesTextstyles"/>
      </w:pPr>
      <w:r w:rsidRPr="00DE7A1D">
        <w:t>36.</w:t>
      </w:r>
      <w:r w:rsidR="00DE57A5">
        <w:tab/>
      </w:r>
      <w:r w:rsidR="00CE281F" w:rsidRPr="00DE7A1D">
        <w:t>Government. W. Welsh index of multiple deprivation http://gov.wales/statistics-and-research/welsh-index-multipledeprivation/?lang=en  [</w:t>
      </w:r>
    </w:p>
    <w:p w14:paraId="4D358C1D" w14:textId="611BB9D2" w:rsidR="00DE7A1D" w:rsidRPr="00DE7A1D" w:rsidRDefault="00DE7A1D" w:rsidP="00DE7A1D">
      <w:pPr>
        <w:pStyle w:val="65ReferencesTextstylesTextstyles"/>
      </w:pPr>
      <w:r w:rsidRPr="00DE7A1D">
        <w:t>37.</w:t>
      </w:r>
      <w:r w:rsidR="00DE57A5">
        <w:tab/>
      </w:r>
      <w:r w:rsidR="00CE281F" w:rsidRPr="00DE7A1D">
        <w:t>Hoddinott P, Tappin D, Wright C. Clinical Review: Breast feeding. BMJ. 2008;336:881.</w:t>
      </w:r>
    </w:p>
    <w:p w14:paraId="19CE434F" w14:textId="4D9F386A" w:rsidR="00DE7A1D" w:rsidRPr="00DE7A1D" w:rsidRDefault="00DE7A1D" w:rsidP="00DE7A1D">
      <w:pPr>
        <w:pStyle w:val="65ReferencesTextstylesTextstyles"/>
      </w:pPr>
      <w:r w:rsidRPr="00DE7A1D">
        <w:t>38.</w:t>
      </w:r>
      <w:r w:rsidR="00DE57A5">
        <w:tab/>
      </w:r>
      <w:r w:rsidR="00CE281F" w:rsidRPr="00DE7A1D">
        <w:t>Rosenbaum PR, Rubin DB. The Central Role of the Propensity Score in Observational Studies for Causal Effects. Biometrika. 1983;70(1):41-55.</w:t>
      </w:r>
    </w:p>
    <w:p w14:paraId="1EBB0ED5" w14:textId="01C449DE" w:rsidR="00DE7A1D" w:rsidRPr="00DE7A1D" w:rsidRDefault="00DE7A1D" w:rsidP="00DE7A1D">
      <w:pPr>
        <w:pStyle w:val="65ReferencesTextstylesTextstyles"/>
      </w:pPr>
      <w:r w:rsidRPr="00DE7A1D">
        <w:t>39.</w:t>
      </w:r>
      <w:r w:rsidR="00DE57A5">
        <w:tab/>
      </w:r>
      <w:r w:rsidR="00CE281F" w:rsidRPr="00DE7A1D">
        <w:t>Ho DE, Imai K, King G, Stuart EA. Matching as nonparametric preprocessing for reducing model dependence in parametric causal inference. Political Analysis. 2007;15(3):199-236.</w:t>
      </w:r>
    </w:p>
    <w:p w14:paraId="4AB87BF0" w14:textId="2756F365" w:rsidR="00DE57A5" w:rsidRPr="00DE57A5" w:rsidRDefault="00DE57A5" w:rsidP="00DE7A1D">
      <w:pPr>
        <w:pStyle w:val="65ReferencesTextstylesTextstyles"/>
        <w:rPr>
          <w:highlight w:val="yellow"/>
        </w:rPr>
      </w:pPr>
      <w:commentRangeStart w:id="13"/>
      <w:r w:rsidRPr="00DE57A5">
        <w:rPr>
          <w:highlight w:val="yellow"/>
        </w:rPr>
        <w:t>40.</w:t>
      </w:r>
      <w:r w:rsidRPr="00DE57A5">
        <w:rPr>
          <w:highlight w:val="yellow"/>
        </w:rPr>
        <w:tab/>
        <w:t xml:space="preserve">Austin PC. A critical appraisal of propensity-score matching in the medical literature </w:t>
      </w:r>
      <w:r w:rsidRPr="00DE57A5">
        <w:rPr>
          <w:highlight w:val="yellow"/>
        </w:rPr>
        <w:lastRenderedPageBreak/>
        <w:t xml:space="preserve">between 1996 and 2003. </w:t>
      </w:r>
      <w:r w:rsidRPr="00DE57A5">
        <w:rPr>
          <w:i/>
          <w:highlight w:val="yellow"/>
        </w:rPr>
        <w:t>Stat Med</w:t>
      </w:r>
      <w:r w:rsidRPr="00DE57A5">
        <w:rPr>
          <w:highlight w:val="yellow"/>
        </w:rPr>
        <w:t xml:space="preserve"> 2008;</w:t>
      </w:r>
      <w:r w:rsidRPr="00DE57A5">
        <w:rPr>
          <w:b/>
          <w:highlight w:val="yellow"/>
        </w:rPr>
        <w:t>27</w:t>
      </w:r>
      <w:r w:rsidRPr="00DE57A5">
        <w:rPr>
          <w:highlight w:val="yellow"/>
        </w:rPr>
        <w:t>:</w:t>
      </w:r>
      <w:r w:rsidRPr="00DE57A5">
        <w:rPr>
          <w:color w:val="auto"/>
          <w:highlight w:val="yellow"/>
        </w:rPr>
        <w:t>2037</w:t>
      </w:r>
      <w:r w:rsidRPr="00DE57A5">
        <w:rPr>
          <w:color w:val="00B0F0"/>
          <w:highlight w:val="yellow"/>
        </w:rPr>
        <w:t>–</w:t>
      </w:r>
      <w:r w:rsidRPr="00DE57A5">
        <w:rPr>
          <w:color w:val="auto"/>
          <w:highlight w:val="yellow"/>
        </w:rPr>
        <w:t>49</w:t>
      </w:r>
      <w:r w:rsidRPr="00DE57A5">
        <w:rPr>
          <w:highlight w:val="yellow"/>
        </w:rPr>
        <w:t>. https://doi.org/10.1002/sim.3150</w:t>
      </w:r>
      <w:commentRangeEnd w:id="13"/>
      <w:r>
        <w:rPr>
          <w:rStyle w:val="CommentReference"/>
          <w:rFonts w:ascii="Times New Roman" w:hAnsi="Times New Roman" w:cs="Times New Roman"/>
          <w:color w:val="auto"/>
          <w:u w:color="000000"/>
          <w:lang w:val="en-US"/>
        </w:rPr>
        <w:commentReference w:id="13"/>
      </w:r>
    </w:p>
    <w:p w14:paraId="451FCEFA" w14:textId="0F7A9E9E" w:rsidR="00DE7A1D" w:rsidRPr="00DE7A1D" w:rsidRDefault="00DE7A1D" w:rsidP="00DE7A1D">
      <w:pPr>
        <w:pStyle w:val="65ReferencesTextstylesTextstyles"/>
      </w:pPr>
      <w:r w:rsidRPr="00DE7A1D">
        <w:t>41.</w:t>
      </w:r>
      <w:r w:rsidR="00DE57A5">
        <w:tab/>
      </w:r>
      <w:r w:rsidR="00CE281F" w:rsidRPr="00DE7A1D">
        <w:t>Rosenbaum PR, Rubin DB. The Central Role of the Propensity Score in Observational Studies for Causal Effects. Biometrika 1983;70(1):41-55.</w:t>
      </w:r>
    </w:p>
    <w:p w14:paraId="647C142C" w14:textId="6C523F66" w:rsidR="00DE7A1D" w:rsidRPr="00DE7A1D" w:rsidRDefault="00DE7A1D" w:rsidP="00DE7A1D">
      <w:pPr>
        <w:pStyle w:val="65ReferencesTextstylesTextstyles"/>
      </w:pPr>
      <w:r w:rsidRPr="00DE7A1D">
        <w:t>42.</w:t>
      </w:r>
      <w:r w:rsidR="00DE57A5">
        <w:tab/>
      </w:r>
      <w:r w:rsidR="00CE281F" w:rsidRPr="00DE7A1D">
        <w:t>Dalgaard P. Introductory Statistics With R , Second Edition: Springer; 2008.</w:t>
      </w:r>
    </w:p>
    <w:p w14:paraId="430690BC" w14:textId="6CCB3769" w:rsidR="00DE7A1D" w:rsidRPr="00DE7A1D" w:rsidRDefault="00DE7A1D" w:rsidP="00DE7A1D">
      <w:pPr>
        <w:pStyle w:val="65ReferencesTextstylesTextstyles"/>
      </w:pPr>
      <w:r w:rsidRPr="00DE7A1D">
        <w:t>43.</w:t>
      </w:r>
      <w:r w:rsidR="00DE57A5">
        <w:tab/>
      </w:r>
      <w:r w:rsidR="00CE281F" w:rsidRPr="00DE7A1D">
        <w:t>Calonico S, Cattaneo MD, Titiunik R. rdrobust: An R Package for Robust Nonparametric Inference in Regression-Discontinuity Designs. R Journal. 2015;7(1):38-51.</w:t>
      </w:r>
    </w:p>
    <w:p w14:paraId="77DB93D1" w14:textId="34034A02" w:rsidR="00DE7A1D" w:rsidRPr="00DE7A1D" w:rsidRDefault="00DE7A1D" w:rsidP="00DE7A1D">
      <w:pPr>
        <w:pStyle w:val="65ReferencesTextstylesTextstyles"/>
      </w:pPr>
      <w:r w:rsidRPr="00DE7A1D">
        <w:t>44.</w:t>
      </w:r>
      <w:r w:rsidR="00DE57A5">
        <w:tab/>
      </w:r>
      <w:r w:rsidR="00CE281F" w:rsidRPr="00DE7A1D">
        <w:t>Little R, Rubin DB. Statistical Analysis with Missing Data. 2nd ed. . Hoboken: John Wiley &amp; Sons; 2002.</w:t>
      </w:r>
    </w:p>
    <w:p w14:paraId="6F6519D7" w14:textId="5D06915F" w:rsidR="00DE7A1D" w:rsidRPr="00DE7A1D" w:rsidRDefault="00DE7A1D" w:rsidP="00DE7A1D">
      <w:pPr>
        <w:pStyle w:val="65ReferencesTextstylesTextstyles"/>
      </w:pPr>
      <w:r w:rsidRPr="00DE7A1D">
        <w:t>45.</w:t>
      </w:r>
      <w:r w:rsidR="00DE57A5">
        <w:tab/>
      </w:r>
      <w:r w:rsidR="00CE281F" w:rsidRPr="00DE7A1D">
        <w:t>Su YS, Gelman A, Hill J, Yajima M. Multiple Imputation with Diagnostics (mi) in R: Opening Windows into the Black Box. Journal of Statistical Software,. 2011;45(2):1-31.</w:t>
      </w:r>
    </w:p>
    <w:p w14:paraId="6FC5D760" w14:textId="0E66C2F8" w:rsidR="00DE7A1D" w:rsidRPr="00DE7A1D" w:rsidRDefault="00DE7A1D" w:rsidP="00DE7A1D">
      <w:pPr>
        <w:pStyle w:val="65ReferencesTextstylesTextstyles"/>
      </w:pPr>
      <w:r w:rsidRPr="00DE7A1D">
        <w:t>46.</w:t>
      </w:r>
      <w:r w:rsidR="00DE57A5">
        <w:tab/>
      </w:r>
      <w:r w:rsidR="00CE281F" w:rsidRPr="00DE7A1D">
        <w:t>2015. S. Stata Statistical software: Release 14. College Station, TX: StataCorp LP; 2016.</w:t>
      </w:r>
    </w:p>
    <w:p w14:paraId="3CEE57CF" w14:textId="4F57B24B" w:rsidR="00DE7A1D" w:rsidRPr="00DE7A1D" w:rsidRDefault="00DE7A1D" w:rsidP="00DE7A1D">
      <w:pPr>
        <w:pStyle w:val="65ReferencesTextstylesTextstyles"/>
      </w:pPr>
      <w:r w:rsidRPr="00DE7A1D">
        <w:t>47.</w:t>
      </w:r>
      <w:r w:rsidR="00DE57A5">
        <w:tab/>
      </w:r>
      <w:r w:rsidR="00CE281F" w:rsidRPr="00DE7A1D">
        <w:t>Dusheiko M, Gravelle H, Jacobs R, Smith P. The effect of budgets on doctor behaviour: evidence from a natural experiment. Discussion papers in economics. . York: University of York; 2003.</w:t>
      </w:r>
    </w:p>
    <w:p w14:paraId="30C0E279" w14:textId="5FBB6C70" w:rsidR="00DE7A1D" w:rsidRPr="00DE7A1D" w:rsidRDefault="00DE7A1D" w:rsidP="00DE7A1D">
      <w:pPr>
        <w:pStyle w:val="65ReferencesTextstylesTextstyles"/>
      </w:pPr>
      <w:r w:rsidRPr="00DE7A1D">
        <w:t>48.</w:t>
      </w:r>
      <w:r w:rsidR="00DE57A5">
        <w:tab/>
      </w:r>
      <w:r w:rsidR="00CE281F" w:rsidRPr="00DE7A1D">
        <w:t>Imbens GW, Wooldridge JM. Recent Developments in the Econometrics of Program Evaluation. Journal of Economic Literature. 2009;47(1):5-86.</w:t>
      </w:r>
    </w:p>
    <w:p w14:paraId="5A44ECED" w14:textId="78D1A755" w:rsidR="00DE7A1D" w:rsidRPr="00DE7A1D" w:rsidRDefault="00DE7A1D" w:rsidP="00DE7A1D">
      <w:pPr>
        <w:pStyle w:val="65ReferencesTextstylesTextstyles"/>
      </w:pPr>
      <w:r w:rsidRPr="00DE7A1D">
        <w:t>49.</w:t>
      </w:r>
      <w:r w:rsidR="00DE57A5">
        <w:tab/>
      </w:r>
      <w:r w:rsidR="00CE281F" w:rsidRPr="00DE7A1D">
        <w:t>Meyer BD. Natural and Quasi-Experiments in Economics. Journal of Business &amp; Economic Statistics. 1995;13(2):151-61.</w:t>
      </w:r>
    </w:p>
    <w:p w14:paraId="04452BAF" w14:textId="00B29E29" w:rsidR="00DE7A1D" w:rsidRPr="00DE7A1D" w:rsidRDefault="00DE7A1D" w:rsidP="00DE7A1D">
      <w:pPr>
        <w:pStyle w:val="65ReferencesTextstylesTextstyles"/>
      </w:pPr>
      <w:r w:rsidRPr="00DE7A1D">
        <w:t>50.</w:t>
      </w:r>
      <w:r w:rsidR="00DE57A5">
        <w:tab/>
      </w:r>
      <w:r w:rsidR="00CE281F" w:rsidRPr="00DE7A1D">
        <w:t xml:space="preserve">Rosenzweig MR, Wolpin KI. Natural </w:t>
      </w:r>
      <w:r w:rsidR="00DE57A5" w:rsidRPr="00DE57A5">
        <w:t>‘</w:t>
      </w:r>
      <w:r w:rsidR="00CE281F" w:rsidRPr="00DE7A1D">
        <w:t>Natural Experiments</w:t>
      </w:r>
      <w:r w:rsidR="00DE57A5" w:rsidRPr="00DE57A5">
        <w:t>’</w:t>
      </w:r>
      <w:r w:rsidR="00CE281F" w:rsidRPr="00DE7A1D">
        <w:t xml:space="preserve"> in Economics. Journal of Economic Literature. 2000;38(4):827-74.</w:t>
      </w:r>
    </w:p>
    <w:p w14:paraId="4134CBF6" w14:textId="086385A6" w:rsidR="00DE7A1D" w:rsidRPr="00DE7A1D" w:rsidRDefault="00DE7A1D" w:rsidP="00DE7A1D">
      <w:pPr>
        <w:pStyle w:val="65ReferencesTextstylesTextstyles"/>
      </w:pPr>
      <w:r w:rsidRPr="00DE7A1D">
        <w:t>51.</w:t>
      </w:r>
      <w:r w:rsidR="00DE57A5">
        <w:tab/>
      </w:r>
      <w:r w:rsidR="00CE281F" w:rsidRPr="00DE7A1D">
        <w:t>Angrist JD, Keueger AB. Does Compulsory School Attendance Affect Schooling and Earnings? The Quarterly Journal of Economics. 1991;106(4):979-1014.</w:t>
      </w:r>
    </w:p>
    <w:p w14:paraId="7EB79FE3" w14:textId="54C12C4B" w:rsidR="00DE7A1D" w:rsidRPr="00DE7A1D" w:rsidRDefault="00DE7A1D" w:rsidP="00DE7A1D">
      <w:pPr>
        <w:pStyle w:val="65ReferencesTextstylesTextstyles"/>
      </w:pPr>
      <w:r w:rsidRPr="00DE7A1D">
        <w:t>52.</w:t>
      </w:r>
      <w:r w:rsidR="00DE57A5">
        <w:tab/>
      </w:r>
      <w:r w:rsidR="00CE281F" w:rsidRPr="00DE7A1D">
        <w:t>Angrist JD, Lavy V. Using Maimonides</w:t>
      </w:r>
      <w:r w:rsidR="00DE57A5" w:rsidRPr="00DE57A5">
        <w:t>’</w:t>
      </w:r>
      <w:r w:rsidR="00CE281F" w:rsidRPr="00DE7A1D">
        <w:t xml:space="preserve"> Rule to Estimate the Effect of Class Size on Scholastic Achievement. The Quarterly Journal of Economics. 1999;114(2):533-75.</w:t>
      </w:r>
    </w:p>
    <w:p w14:paraId="261F7456" w14:textId="06CBDD5A" w:rsidR="00DE7A1D" w:rsidRPr="00DE7A1D" w:rsidRDefault="00DE7A1D" w:rsidP="00DE7A1D">
      <w:pPr>
        <w:pStyle w:val="65ReferencesTextstylesTextstyles"/>
      </w:pPr>
      <w:r w:rsidRPr="00DE7A1D">
        <w:t>53.</w:t>
      </w:r>
      <w:r w:rsidR="00DE57A5">
        <w:tab/>
      </w:r>
      <w:r w:rsidR="00CE281F" w:rsidRPr="00DE7A1D">
        <w:t>Blundell R, Costa Dias M. Alternative approaches to evaluation in empirical microeconomics.: Cemmap working paper; 2002.</w:t>
      </w:r>
    </w:p>
    <w:p w14:paraId="7383D136" w14:textId="13D908AD" w:rsidR="00DE7A1D" w:rsidRPr="00DE7A1D" w:rsidRDefault="00DE7A1D" w:rsidP="00DE7A1D">
      <w:pPr>
        <w:pStyle w:val="65ReferencesTextstylesTextstyles"/>
      </w:pPr>
      <w:r w:rsidRPr="00DE7A1D">
        <w:t>54.</w:t>
      </w:r>
      <w:r w:rsidR="00DE57A5">
        <w:tab/>
      </w:r>
      <w:r w:rsidR="00CE281F" w:rsidRPr="00DE7A1D">
        <w:t>Rovithis D. Do health economic evaluations using observational data provide reliable assessment of treatment effects? Health Economics Review. 2013;3(1):21.</w:t>
      </w:r>
    </w:p>
    <w:p w14:paraId="03A779A9" w14:textId="7A9E3BED" w:rsidR="00DE7A1D" w:rsidRPr="00DE7A1D" w:rsidRDefault="00DE7A1D" w:rsidP="00DE7A1D">
      <w:pPr>
        <w:pStyle w:val="65ReferencesTextstylesTextstyles"/>
      </w:pPr>
      <w:r w:rsidRPr="00DE7A1D">
        <w:t>55.</w:t>
      </w:r>
      <w:r w:rsidR="00DE57A5">
        <w:tab/>
      </w:r>
      <w:r w:rsidR="00CE281F" w:rsidRPr="00DE7A1D">
        <w:t>National Institute for Health Care Excellence. Maternal and Child Nutrition. Public Health Guideline [PH11]. 2014.</w:t>
      </w:r>
    </w:p>
    <w:p w14:paraId="33DA3210" w14:textId="4DC43D76" w:rsidR="00DE57A5" w:rsidRPr="00DE57A5" w:rsidRDefault="00DE57A5" w:rsidP="00DE7A1D">
      <w:pPr>
        <w:pStyle w:val="65ReferencesTextstylesTextstyles"/>
        <w:rPr>
          <w:highlight w:val="yellow"/>
        </w:rPr>
      </w:pPr>
      <w:commentRangeStart w:id="14"/>
      <w:r w:rsidRPr="00DE57A5">
        <w:rPr>
          <w:highlight w:val="yellow"/>
        </w:rPr>
        <w:t>56.</w:t>
      </w:r>
      <w:r w:rsidRPr="00DE57A5">
        <w:rPr>
          <w:highlight w:val="yellow"/>
        </w:rPr>
        <w:tab/>
        <w:t xml:space="preserve">Abu-Saad K, Fraser D. Maternal nutrition and birth outcomes. </w:t>
      </w:r>
      <w:r w:rsidRPr="00DE57A5">
        <w:rPr>
          <w:i/>
          <w:highlight w:val="yellow"/>
        </w:rPr>
        <w:t>Epidemiol Rev</w:t>
      </w:r>
      <w:r w:rsidRPr="00DE57A5">
        <w:rPr>
          <w:highlight w:val="yellow"/>
        </w:rPr>
        <w:t xml:space="preserve"> 2010;</w:t>
      </w:r>
      <w:r w:rsidRPr="00DE57A5">
        <w:rPr>
          <w:b/>
          <w:highlight w:val="yellow"/>
        </w:rPr>
        <w:t>32</w:t>
      </w:r>
      <w:r w:rsidRPr="00DE57A5">
        <w:rPr>
          <w:highlight w:val="yellow"/>
        </w:rPr>
        <w:t>:</w:t>
      </w:r>
      <w:r w:rsidRPr="00DE57A5">
        <w:rPr>
          <w:color w:val="auto"/>
          <w:highlight w:val="yellow"/>
        </w:rPr>
        <w:t>5</w:t>
      </w:r>
      <w:r w:rsidRPr="00DE57A5">
        <w:rPr>
          <w:color w:val="00B0F0"/>
          <w:highlight w:val="yellow"/>
        </w:rPr>
        <w:t>–</w:t>
      </w:r>
      <w:r w:rsidRPr="00DE57A5">
        <w:rPr>
          <w:color w:val="auto"/>
          <w:highlight w:val="yellow"/>
        </w:rPr>
        <w:t>25</w:t>
      </w:r>
      <w:r w:rsidRPr="00DE57A5">
        <w:rPr>
          <w:highlight w:val="yellow"/>
        </w:rPr>
        <w:t>. https://doi.org/10.1093/epirev/mxq001</w:t>
      </w:r>
      <w:commentRangeEnd w:id="14"/>
      <w:r>
        <w:rPr>
          <w:rStyle w:val="CommentReference"/>
          <w:rFonts w:ascii="Times New Roman" w:hAnsi="Times New Roman" w:cs="Times New Roman"/>
          <w:color w:val="auto"/>
          <w:u w:color="000000"/>
          <w:lang w:val="en-US"/>
        </w:rPr>
        <w:commentReference w:id="14"/>
      </w:r>
    </w:p>
    <w:p w14:paraId="71E78617" w14:textId="7C76B48D" w:rsidR="00DE57A5" w:rsidRPr="00DE57A5" w:rsidRDefault="00DE57A5" w:rsidP="00DE7A1D">
      <w:pPr>
        <w:pStyle w:val="65ReferencesTextstylesTextstyles"/>
        <w:rPr>
          <w:highlight w:val="yellow"/>
        </w:rPr>
      </w:pPr>
      <w:commentRangeStart w:id="15"/>
      <w:r w:rsidRPr="00DE57A5">
        <w:rPr>
          <w:highlight w:val="yellow"/>
        </w:rPr>
        <w:t>57.</w:t>
      </w:r>
      <w:r w:rsidRPr="00DE57A5">
        <w:rPr>
          <w:highlight w:val="yellow"/>
        </w:rPr>
        <w:tab/>
        <w:t xml:space="preserve">Barker DJ. The fetal and infant origins of adult disease. </w:t>
      </w:r>
      <w:r w:rsidRPr="00DE57A5">
        <w:rPr>
          <w:i/>
          <w:highlight w:val="yellow"/>
        </w:rPr>
        <w:t>BMJ</w:t>
      </w:r>
      <w:r w:rsidRPr="00DE57A5">
        <w:rPr>
          <w:highlight w:val="yellow"/>
        </w:rPr>
        <w:t xml:space="preserve"> 1990;</w:t>
      </w:r>
      <w:r w:rsidRPr="00DE57A5">
        <w:rPr>
          <w:b/>
          <w:highlight w:val="yellow"/>
        </w:rPr>
        <w:t>301</w:t>
      </w:r>
      <w:r w:rsidRPr="00DE57A5">
        <w:rPr>
          <w:highlight w:val="yellow"/>
        </w:rPr>
        <w:t>:</w:t>
      </w:r>
      <w:r w:rsidRPr="00DE57A5">
        <w:rPr>
          <w:color w:val="auto"/>
          <w:highlight w:val="yellow"/>
        </w:rPr>
        <w:t>1111</w:t>
      </w:r>
      <w:r w:rsidRPr="00DE57A5">
        <w:rPr>
          <w:highlight w:val="yellow"/>
        </w:rPr>
        <w:t>.</w:t>
      </w:r>
      <w:commentRangeEnd w:id="15"/>
      <w:r>
        <w:rPr>
          <w:rStyle w:val="CommentReference"/>
          <w:rFonts w:ascii="Times New Roman" w:hAnsi="Times New Roman" w:cs="Times New Roman"/>
          <w:color w:val="auto"/>
          <w:u w:color="000000"/>
          <w:lang w:val="en-US"/>
        </w:rPr>
        <w:commentReference w:id="15"/>
      </w:r>
    </w:p>
    <w:p w14:paraId="0B97B87E" w14:textId="70F97982" w:rsidR="00DE57A5" w:rsidRPr="00DE57A5" w:rsidRDefault="00DE57A5" w:rsidP="00DE7A1D">
      <w:pPr>
        <w:pStyle w:val="65ReferencesTextstylesTextstyles"/>
        <w:rPr>
          <w:highlight w:val="yellow"/>
        </w:rPr>
      </w:pPr>
      <w:commentRangeStart w:id="16"/>
      <w:r w:rsidRPr="00DE57A5">
        <w:rPr>
          <w:highlight w:val="yellow"/>
        </w:rPr>
        <w:t>58.</w:t>
      </w:r>
      <w:r w:rsidRPr="00DE57A5">
        <w:rPr>
          <w:highlight w:val="yellow"/>
        </w:rPr>
        <w:tab/>
        <w:t xml:space="preserve">Mishra GD, Prynne CJ, Paul AA, Greenberg DC, Bolton-Smith C. The impact of inter-generational social and regional circumstances on dietary intake patterns of British adults: results from the 1946 British Birth Cohort. </w:t>
      </w:r>
      <w:r w:rsidRPr="00DE57A5">
        <w:rPr>
          <w:i/>
          <w:highlight w:val="yellow"/>
        </w:rPr>
        <w:t>Public Health Nutr</w:t>
      </w:r>
      <w:r w:rsidRPr="00DE57A5">
        <w:rPr>
          <w:highlight w:val="yellow"/>
        </w:rPr>
        <w:t xml:space="preserve"> 2004;</w:t>
      </w:r>
      <w:r w:rsidRPr="00DE57A5">
        <w:rPr>
          <w:b/>
          <w:highlight w:val="yellow"/>
        </w:rPr>
        <w:t>7</w:t>
      </w:r>
      <w:r w:rsidRPr="00DE57A5">
        <w:rPr>
          <w:highlight w:val="yellow"/>
        </w:rPr>
        <w:t>:</w:t>
      </w:r>
      <w:r w:rsidRPr="00DE57A5">
        <w:rPr>
          <w:color w:val="auto"/>
          <w:highlight w:val="yellow"/>
        </w:rPr>
        <w:t>737</w:t>
      </w:r>
      <w:r w:rsidRPr="00DE57A5">
        <w:rPr>
          <w:color w:val="00B0F0"/>
          <w:highlight w:val="yellow"/>
        </w:rPr>
        <w:t>–</w:t>
      </w:r>
      <w:r w:rsidRPr="00DE57A5">
        <w:rPr>
          <w:color w:val="auto"/>
          <w:highlight w:val="yellow"/>
        </w:rPr>
        <w:t>44</w:t>
      </w:r>
      <w:r w:rsidRPr="00DE57A5">
        <w:rPr>
          <w:highlight w:val="yellow"/>
        </w:rPr>
        <w:t>.</w:t>
      </w:r>
      <w:commentRangeEnd w:id="16"/>
      <w:r>
        <w:rPr>
          <w:rStyle w:val="CommentReference"/>
          <w:rFonts w:ascii="Times New Roman" w:hAnsi="Times New Roman" w:cs="Times New Roman"/>
          <w:color w:val="auto"/>
          <w:u w:color="000000"/>
          <w:lang w:val="en-US"/>
        </w:rPr>
        <w:commentReference w:id="16"/>
      </w:r>
    </w:p>
    <w:p w14:paraId="0664E96C" w14:textId="4C43E0E9" w:rsidR="00DE7A1D" w:rsidRPr="00DE7A1D" w:rsidRDefault="00DE7A1D" w:rsidP="00DE7A1D">
      <w:pPr>
        <w:pStyle w:val="65ReferencesTextstylesTextstyles"/>
      </w:pPr>
      <w:r w:rsidRPr="00DE7A1D">
        <w:t>59.</w:t>
      </w:r>
      <w:r w:rsidR="00DE57A5">
        <w:tab/>
      </w:r>
      <w:r w:rsidR="00CE281F" w:rsidRPr="00DE7A1D">
        <w:t>Lucas PJ, Jessiman T, Cameron A. Healthy start: the use of welfare food vouchers by low-income parents in England. Social Policy and Society. 2015;14(3):457.</w:t>
      </w:r>
    </w:p>
    <w:p w14:paraId="2DDFF8A3" w14:textId="2DB76CD5" w:rsidR="00DE57A5" w:rsidRPr="00DE57A5" w:rsidRDefault="00DE57A5" w:rsidP="00DE7A1D">
      <w:pPr>
        <w:pStyle w:val="65ReferencesTextstylesTextstyles"/>
        <w:rPr>
          <w:highlight w:val="yellow"/>
        </w:rPr>
      </w:pPr>
      <w:commentRangeStart w:id="17"/>
      <w:commentRangeStart w:id="18"/>
      <w:r w:rsidRPr="00DE57A5">
        <w:rPr>
          <w:highlight w:val="yellow"/>
        </w:rPr>
        <w:t>60.</w:t>
      </w:r>
      <w:r w:rsidRPr="00DE57A5">
        <w:rPr>
          <w:highlight w:val="yellow"/>
        </w:rPr>
        <w:tab/>
        <w:t xml:space="preserve">Ford FA, Mouratidou T, Wademan SE, Fraser RB. Effect of the introduction of ‘Healthy Start’ on dietary behaviour during and after pregnancy: early results from the ‘before and after’ Sheffield study. </w:t>
      </w:r>
      <w:r w:rsidRPr="00DE57A5">
        <w:rPr>
          <w:i/>
          <w:highlight w:val="yellow"/>
        </w:rPr>
        <w:t>Br J Nutr</w:t>
      </w:r>
      <w:r w:rsidRPr="00DE57A5">
        <w:rPr>
          <w:highlight w:val="yellow"/>
        </w:rPr>
        <w:t xml:space="preserve"> 2009;</w:t>
      </w:r>
      <w:r w:rsidRPr="00DE57A5">
        <w:rPr>
          <w:b/>
          <w:highlight w:val="yellow"/>
        </w:rPr>
        <w:t>101</w:t>
      </w:r>
      <w:r w:rsidRPr="00DE57A5">
        <w:rPr>
          <w:highlight w:val="yellow"/>
        </w:rPr>
        <w:t>:</w:t>
      </w:r>
      <w:r w:rsidRPr="00DE57A5">
        <w:rPr>
          <w:color w:val="auto"/>
          <w:highlight w:val="yellow"/>
        </w:rPr>
        <w:t>1828</w:t>
      </w:r>
      <w:r w:rsidRPr="00DE57A5">
        <w:rPr>
          <w:color w:val="00B0F0"/>
          <w:highlight w:val="yellow"/>
        </w:rPr>
        <w:t>–</w:t>
      </w:r>
      <w:r w:rsidRPr="00DE57A5">
        <w:rPr>
          <w:color w:val="auto"/>
          <w:highlight w:val="yellow"/>
        </w:rPr>
        <w:t>36</w:t>
      </w:r>
      <w:r w:rsidRPr="00DE57A5">
        <w:rPr>
          <w:highlight w:val="yellow"/>
        </w:rPr>
        <w:t>. https://doi.org/10.1017/S0007114508135899</w:t>
      </w:r>
      <w:commentRangeEnd w:id="17"/>
      <w:r>
        <w:rPr>
          <w:rStyle w:val="CommentReference"/>
          <w:rFonts w:ascii="Times New Roman" w:hAnsi="Times New Roman" w:cs="Times New Roman"/>
          <w:color w:val="auto"/>
          <w:u w:color="000000"/>
          <w:lang w:val="en-US"/>
        </w:rPr>
        <w:commentReference w:id="17"/>
      </w:r>
      <w:commentRangeEnd w:id="18"/>
      <w:r>
        <w:rPr>
          <w:rStyle w:val="CommentReference"/>
          <w:rFonts w:ascii="Times New Roman" w:hAnsi="Times New Roman" w:cs="Times New Roman"/>
          <w:color w:val="auto"/>
          <w:u w:color="000000"/>
          <w:lang w:val="en-US"/>
        </w:rPr>
        <w:commentReference w:id="18"/>
      </w:r>
    </w:p>
    <w:p w14:paraId="647198BC" w14:textId="70D703EA" w:rsidR="00DE57A5" w:rsidRPr="00DE57A5" w:rsidRDefault="00DE57A5" w:rsidP="00DE7A1D">
      <w:pPr>
        <w:pStyle w:val="65ReferencesTextstylesTextstyles"/>
        <w:rPr>
          <w:highlight w:val="yellow"/>
        </w:rPr>
      </w:pPr>
      <w:commentRangeStart w:id="19"/>
      <w:r w:rsidRPr="00DE57A5">
        <w:rPr>
          <w:highlight w:val="yellow"/>
        </w:rPr>
        <w:t>61.</w:t>
      </w:r>
      <w:r w:rsidRPr="00DE57A5">
        <w:rPr>
          <w:highlight w:val="yellow"/>
        </w:rPr>
        <w:tab/>
        <w:t xml:space="preserve">Mouratidou T, Ford FA, Wademan SE, Fraser RB. Are the benefits of the ‘Healthy Start’ food support scheme sustained at three months postpartum? Results from the Sheffield ‘before </w:t>
      </w:r>
      <w:r w:rsidRPr="00DE57A5">
        <w:rPr>
          <w:highlight w:val="yellow"/>
        </w:rPr>
        <w:lastRenderedPageBreak/>
        <w:t xml:space="preserve">and after’ study. </w:t>
      </w:r>
      <w:r w:rsidRPr="00DE57A5">
        <w:rPr>
          <w:i/>
          <w:highlight w:val="yellow"/>
        </w:rPr>
        <w:t>Matern Child Nutr</w:t>
      </w:r>
      <w:r w:rsidRPr="00DE57A5">
        <w:rPr>
          <w:highlight w:val="yellow"/>
        </w:rPr>
        <w:t xml:space="preserve"> 2010;</w:t>
      </w:r>
      <w:r w:rsidRPr="00DE57A5">
        <w:rPr>
          <w:b/>
          <w:highlight w:val="yellow"/>
        </w:rPr>
        <w:t>6</w:t>
      </w:r>
      <w:r w:rsidRPr="00DE57A5">
        <w:rPr>
          <w:highlight w:val="yellow"/>
        </w:rPr>
        <w:t>:</w:t>
      </w:r>
      <w:r w:rsidRPr="00DE57A5">
        <w:rPr>
          <w:color w:val="auto"/>
          <w:highlight w:val="yellow"/>
        </w:rPr>
        <w:t>347</w:t>
      </w:r>
      <w:r w:rsidRPr="00DE57A5">
        <w:rPr>
          <w:color w:val="00B0F0"/>
          <w:highlight w:val="yellow"/>
        </w:rPr>
        <w:t>–</w:t>
      </w:r>
      <w:r w:rsidRPr="00DE57A5">
        <w:rPr>
          <w:color w:val="auto"/>
          <w:highlight w:val="yellow"/>
        </w:rPr>
        <w:t>57</w:t>
      </w:r>
      <w:r w:rsidRPr="00DE57A5">
        <w:rPr>
          <w:highlight w:val="yellow"/>
        </w:rPr>
        <w:t>. https://doi.org/10.1111/j.1740-8709.2009.00215.x</w:t>
      </w:r>
      <w:commentRangeEnd w:id="19"/>
      <w:r>
        <w:rPr>
          <w:rStyle w:val="CommentReference"/>
          <w:rFonts w:ascii="Times New Roman" w:hAnsi="Times New Roman" w:cs="Times New Roman"/>
          <w:color w:val="auto"/>
          <w:u w:color="000000"/>
          <w:lang w:val="en-US"/>
        </w:rPr>
        <w:commentReference w:id="19"/>
      </w:r>
    </w:p>
    <w:p w14:paraId="08ED362F" w14:textId="03BE0E5D" w:rsidR="00DE57A5" w:rsidRPr="00DE57A5" w:rsidRDefault="00DE57A5" w:rsidP="00DE7A1D">
      <w:pPr>
        <w:pStyle w:val="65ReferencesTextstylesTextstyles"/>
        <w:rPr>
          <w:highlight w:val="yellow"/>
        </w:rPr>
      </w:pPr>
      <w:commentRangeStart w:id="20"/>
      <w:r w:rsidRPr="00DE57A5">
        <w:rPr>
          <w:highlight w:val="yellow"/>
        </w:rPr>
        <w:t>62.</w:t>
      </w:r>
      <w:r w:rsidRPr="00DE57A5">
        <w:rPr>
          <w:highlight w:val="yellow"/>
        </w:rPr>
        <w:tab/>
        <w:t xml:space="preserve">Husereau D, Drummond M, Petrou S, Carswell C, Moher D, Greenberg D, </w:t>
      </w:r>
      <w:r w:rsidRPr="00DE57A5">
        <w:rPr>
          <w:i/>
          <w:highlight w:val="yellow"/>
        </w:rPr>
        <w:t>et al</w:t>
      </w:r>
      <w:r w:rsidRPr="00DE57A5">
        <w:rPr>
          <w:highlight w:val="yellow"/>
        </w:rPr>
        <w:t xml:space="preserve">. Consolidated Health Economic Evaluation Reporting Standards (CHEERS) statement. </w:t>
      </w:r>
      <w:r w:rsidRPr="00DE57A5">
        <w:rPr>
          <w:i/>
          <w:highlight w:val="yellow"/>
        </w:rPr>
        <w:t>Int J Technol Assess Health Care</w:t>
      </w:r>
      <w:r w:rsidRPr="00DE57A5">
        <w:rPr>
          <w:highlight w:val="yellow"/>
        </w:rPr>
        <w:t xml:space="preserve"> 2013;</w:t>
      </w:r>
      <w:r w:rsidRPr="00DE57A5">
        <w:rPr>
          <w:b/>
          <w:highlight w:val="yellow"/>
        </w:rPr>
        <w:t>29</w:t>
      </w:r>
      <w:r w:rsidRPr="00DE57A5">
        <w:rPr>
          <w:highlight w:val="yellow"/>
        </w:rPr>
        <w:t>:</w:t>
      </w:r>
      <w:r w:rsidRPr="00DE57A5">
        <w:rPr>
          <w:color w:val="auto"/>
          <w:highlight w:val="yellow"/>
        </w:rPr>
        <w:t>117</w:t>
      </w:r>
      <w:r w:rsidRPr="00DE57A5">
        <w:rPr>
          <w:color w:val="00B0F0"/>
          <w:highlight w:val="yellow"/>
        </w:rPr>
        <w:t>–</w:t>
      </w:r>
      <w:r w:rsidRPr="00DE57A5">
        <w:rPr>
          <w:color w:val="auto"/>
          <w:highlight w:val="yellow"/>
        </w:rPr>
        <w:t>22</w:t>
      </w:r>
      <w:r w:rsidRPr="00DE57A5">
        <w:rPr>
          <w:highlight w:val="yellow"/>
        </w:rPr>
        <w:t>. https://doi.org/10.1017/S0266462313000160</w:t>
      </w:r>
      <w:commentRangeEnd w:id="20"/>
      <w:r>
        <w:rPr>
          <w:rStyle w:val="CommentReference"/>
          <w:rFonts w:ascii="Times New Roman" w:hAnsi="Times New Roman" w:cs="Times New Roman"/>
          <w:color w:val="auto"/>
          <w:u w:color="000000"/>
          <w:lang w:val="en-US"/>
        </w:rPr>
        <w:commentReference w:id="20"/>
      </w:r>
    </w:p>
    <w:p w14:paraId="27B1B957" w14:textId="2E50F0D6" w:rsidR="00DE7A1D" w:rsidRPr="00DE7A1D" w:rsidRDefault="00DE7A1D" w:rsidP="00DE7A1D">
      <w:pPr>
        <w:pStyle w:val="65ReferencesTextstylesTextstyles"/>
      </w:pPr>
      <w:r w:rsidRPr="00DE7A1D">
        <w:t>63.</w:t>
      </w:r>
      <w:r w:rsidR="00DE57A5">
        <w:tab/>
      </w:r>
      <w:r w:rsidR="00CE281F" w:rsidRPr="00DE7A1D">
        <w:t>Drummond M, Sculpher MJ, Claxton K, Stoddart GL, Torrance GW. Methods for the economic evaluation of health care programmes: Oxford university press; 2015.</w:t>
      </w:r>
    </w:p>
    <w:p w14:paraId="3000B9FD" w14:textId="50613F59" w:rsidR="00DE7A1D" w:rsidRPr="00DE7A1D" w:rsidRDefault="00DE7A1D" w:rsidP="00DE7A1D">
      <w:pPr>
        <w:pStyle w:val="65ReferencesTextstylesTextstyles"/>
      </w:pPr>
      <w:r w:rsidRPr="00DE7A1D">
        <w:t>64.</w:t>
      </w:r>
      <w:r w:rsidR="00DE57A5">
        <w:tab/>
      </w:r>
      <w:r w:rsidR="00CE281F" w:rsidRPr="00DE7A1D">
        <w:t>Glick H, Doshi J, A, Sonnad S, S, Polsky D. Economic Evaluation in Clinical Trials. M GA, Briggs AH, editors. Oxford: Oxford University Press; 2007 2007.</w:t>
      </w:r>
    </w:p>
    <w:p w14:paraId="41DB9BA7" w14:textId="417CFAAC" w:rsidR="00DE7A1D" w:rsidRPr="00DE7A1D" w:rsidRDefault="00DE7A1D" w:rsidP="00DE7A1D">
      <w:pPr>
        <w:pStyle w:val="65ReferencesTextstylesTextstyles"/>
      </w:pPr>
      <w:r w:rsidRPr="00DE7A1D">
        <w:t>65.</w:t>
      </w:r>
      <w:r w:rsidR="00DE57A5">
        <w:tab/>
      </w:r>
      <w:r w:rsidR="00CE281F" w:rsidRPr="00DE7A1D">
        <w:t>Byford S, Sefton T. Economic evaluation of complex health and social care interventions. National Institute Economic Review. 2003;186(1):98-108.</w:t>
      </w:r>
    </w:p>
    <w:p w14:paraId="44EE821A" w14:textId="2D39BE0F" w:rsidR="00DE57A5" w:rsidRPr="00DE57A5" w:rsidRDefault="00DE57A5" w:rsidP="00DE7A1D">
      <w:pPr>
        <w:pStyle w:val="65ReferencesTextstylesTextstyles"/>
        <w:rPr>
          <w:highlight w:val="yellow"/>
        </w:rPr>
      </w:pPr>
      <w:commentRangeStart w:id="21"/>
      <w:r w:rsidRPr="00DE57A5">
        <w:rPr>
          <w:highlight w:val="yellow"/>
        </w:rPr>
        <w:t>66.</w:t>
      </w:r>
      <w:r w:rsidRPr="00DE57A5">
        <w:rPr>
          <w:highlight w:val="yellow"/>
        </w:rPr>
        <w:tab/>
        <w:t xml:space="preserve">Husereau D, Drummond M, Petrou S, Carswell C, Moher D, Greenberg D, </w:t>
      </w:r>
      <w:r w:rsidRPr="00DE57A5">
        <w:rPr>
          <w:i/>
          <w:highlight w:val="yellow"/>
        </w:rPr>
        <w:t>et al</w:t>
      </w:r>
      <w:r w:rsidRPr="00DE57A5">
        <w:rPr>
          <w:highlight w:val="yellow"/>
        </w:rPr>
        <w:t xml:space="preserve">. Consolidated Health Economic Evaluation Reporting Standards (CHEERS) – explanation and elaboration: a report of the ISPOR Health Economic Evaluation Publication Guidelines Good Reporting Practices Task Force. </w:t>
      </w:r>
      <w:r w:rsidRPr="00DE57A5">
        <w:rPr>
          <w:i/>
          <w:highlight w:val="yellow"/>
        </w:rPr>
        <w:t>Value Health</w:t>
      </w:r>
      <w:r w:rsidRPr="00DE57A5">
        <w:rPr>
          <w:highlight w:val="yellow"/>
        </w:rPr>
        <w:t xml:space="preserve"> 2013;</w:t>
      </w:r>
      <w:r w:rsidRPr="00DE57A5">
        <w:rPr>
          <w:b/>
          <w:highlight w:val="yellow"/>
        </w:rPr>
        <w:t>16</w:t>
      </w:r>
      <w:r w:rsidRPr="00DE57A5">
        <w:rPr>
          <w:highlight w:val="yellow"/>
        </w:rPr>
        <w:t>:</w:t>
      </w:r>
      <w:r w:rsidRPr="00DE57A5">
        <w:rPr>
          <w:color w:val="auto"/>
          <w:highlight w:val="yellow"/>
        </w:rPr>
        <w:t>231</w:t>
      </w:r>
      <w:r w:rsidRPr="00DE57A5">
        <w:rPr>
          <w:color w:val="00B0F0"/>
          <w:highlight w:val="yellow"/>
        </w:rPr>
        <w:t>–</w:t>
      </w:r>
      <w:r w:rsidRPr="00DE57A5">
        <w:rPr>
          <w:color w:val="auto"/>
          <w:highlight w:val="yellow"/>
        </w:rPr>
        <w:t>50</w:t>
      </w:r>
      <w:r w:rsidRPr="00DE57A5">
        <w:rPr>
          <w:highlight w:val="yellow"/>
        </w:rPr>
        <w:t>. https://doi.org/10.1016/j.jval.2013.02.002</w:t>
      </w:r>
      <w:commentRangeEnd w:id="21"/>
      <w:r>
        <w:rPr>
          <w:rStyle w:val="CommentReference"/>
          <w:rFonts w:ascii="Times New Roman" w:hAnsi="Times New Roman" w:cs="Times New Roman"/>
          <w:color w:val="auto"/>
          <w:u w:color="000000"/>
          <w:lang w:val="en-US"/>
        </w:rPr>
        <w:commentReference w:id="21"/>
      </w:r>
    </w:p>
    <w:p w14:paraId="4619641B" w14:textId="00E30816" w:rsidR="00DE57A5" w:rsidRPr="00DE57A5" w:rsidRDefault="00DE57A5" w:rsidP="00DE7A1D">
      <w:pPr>
        <w:pStyle w:val="65ReferencesTextstylesTextstyles"/>
        <w:rPr>
          <w:highlight w:val="yellow"/>
        </w:rPr>
      </w:pPr>
      <w:commentRangeStart w:id="22"/>
      <w:r w:rsidRPr="00DE57A5">
        <w:rPr>
          <w:highlight w:val="yellow"/>
        </w:rPr>
        <w:t>67.</w:t>
      </w:r>
      <w:r w:rsidRPr="00DE57A5">
        <w:rPr>
          <w:highlight w:val="yellow"/>
        </w:rPr>
        <w:tab/>
        <w:t xml:space="preserve">Deidda M, Geue C, Kreif N, Dundas R, McIntosh E. A framework for conducting economic evaluations alongside natural experiments. </w:t>
      </w:r>
      <w:r w:rsidRPr="00DE57A5">
        <w:rPr>
          <w:i/>
          <w:highlight w:val="yellow"/>
        </w:rPr>
        <w:t>Soc Sci Med</w:t>
      </w:r>
      <w:r w:rsidRPr="00DE57A5">
        <w:rPr>
          <w:highlight w:val="yellow"/>
        </w:rPr>
        <w:t xml:space="preserve"> 2019;</w:t>
      </w:r>
      <w:r w:rsidRPr="00DE57A5">
        <w:rPr>
          <w:b/>
          <w:highlight w:val="yellow"/>
        </w:rPr>
        <w:t>220</w:t>
      </w:r>
      <w:r w:rsidRPr="00DE57A5">
        <w:rPr>
          <w:highlight w:val="yellow"/>
        </w:rPr>
        <w:t>:</w:t>
      </w:r>
      <w:r w:rsidRPr="00DE57A5">
        <w:rPr>
          <w:color w:val="auto"/>
          <w:highlight w:val="yellow"/>
        </w:rPr>
        <w:t>353</w:t>
      </w:r>
      <w:r>
        <w:rPr>
          <w:color w:val="00B0F0"/>
          <w:highlight w:val="yellow"/>
        </w:rPr>
        <w:t>–</w:t>
      </w:r>
      <w:r w:rsidRPr="00DE57A5">
        <w:rPr>
          <w:color w:val="auto"/>
          <w:highlight w:val="yellow"/>
        </w:rPr>
        <w:t>61</w:t>
      </w:r>
      <w:r w:rsidRPr="00DE57A5">
        <w:rPr>
          <w:highlight w:val="yellow"/>
        </w:rPr>
        <w:t>.</w:t>
      </w:r>
      <w:commentRangeEnd w:id="22"/>
      <w:r>
        <w:rPr>
          <w:rStyle w:val="CommentReference"/>
          <w:rFonts w:ascii="Times New Roman" w:hAnsi="Times New Roman" w:cs="Times New Roman"/>
          <w:color w:val="auto"/>
          <w:u w:color="000000"/>
          <w:lang w:val="en-US"/>
        </w:rPr>
        <w:commentReference w:id="22"/>
      </w:r>
    </w:p>
    <w:p w14:paraId="4AEACFBA" w14:textId="0F84F27C" w:rsidR="00DE57A5" w:rsidRPr="00DE57A5" w:rsidRDefault="00DE57A5" w:rsidP="00DE7A1D">
      <w:pPr>
        <w:pStyle w:val="65ReferencesTextstylesTextstyles"/>
        <w:rPr>
          <w:highlight w:val="yellow"/>
        </w:rPr>
      </w:pPr>
      <w:commentRangeStart w:id="23"/>
      <w:r w:rsidRPr="00DE57A5">
        <w:rPr>
          <w:highlight w:val="yellow"/>
        </w:rPr>
        <w:t>68.</w:t>
      </w:r>
      <w:r w:rsidRPr="00DE57A5">
        <w:rPr>
          <w:highlight w:val="yellow"/>
        </w:rPr>
        <w:tab/>
        <w:t xml:space="preserve">Craig P, Katikireddi SV, Leyland A, Popham F. Natural Experiments: An Overview of Methods, Approaches, and Contributions to Public Health Intervention Research. </w:t>
      </w:r>
      <w:r w:rsidRPr="00DE57A5">
        <w:rPr>
          <w:i/>
          <w:highlight w:val="yellow"/>
        </w:rPr>
        <w:t>Annu Rev Public Health</w:t>
      </w:r>
      <w:r w:rsidRPr="00DE57A5">
        <w:rPr>
          <w:highlight w:val="yellow"/>
        </w:rPr>
        <w:t xml:space="preserve"> 2017;</w:t>
      </w:r>
      <w:r w:rsidRPr="00DE57A5">
        <w:rPr>
          <w:b/>
          <w:highlight w:val="yellow"/>
        </w:rPr>
        <w:t>38</w:t>
      </w:r>
      <w:r w:rsidRPr="00DE57A5">
        <w:rPr>
          <w:highlight w:val="yellow"/>
        </w:rPr>
        <w:t>:</w:t>
      </w:r>
      <w:r w:rsidRPr="00DE57A5">
        <w:rPr>
          <w:color w:val="auto"/>
          <w:highlight w:val="yellow"/>
        </w:rPr>
        <w:t>39</w:t>
      </w:r>
      <w:r w:rsidRPr="00DE57A5">
        <w:rPr>
          <w:color w:val="00B0F0"/>
          <w:highlight w:val="yellow"/>
        </w:rPr>
        <w:t>–</w:t>
      </w:r>
      <w:r w:rsidRPr="00DE57A5">
        <w:rPr>
          <w:color w:val="auto"/>
          <w:highlight w:val="yellow"/>
        </w:rPr>
        <w:t>56</w:t>
      </w:r>
      <w:r w:rsidRPr="00DE57A5">
        <w:rPr>
          <w:highlight w:val="yellow"/>
        </w:rPr>
        <w:t>. https://doi.org/10.1146/annurev-publhealth-031816-044327</w:t>
      </w:r>
      <w:commentRangeEnd w:id="23"/>
      <w:r>
        <w:rPr>
          <w:rStyle w:val="CommentReference"/>
          <w:rFonts w:ascii="Times New Roman" w:hAnsi="Times New Roman" w:cs="Times New Roman"/>
          <w:color w:val="auto"/>
          <w:u w:color="000000"/>
          <w:lang w:val="en-US"/>
        </w:rPr>
        <w:commentReference w:id="23"/>
      </w:r>
    </w:p>
    <w:p w14:paraId="61463C36" w14:textId="7A573EE2" w:rsidR="00DE57A5" w:rsidRPr="00DE57A5" w:rsidRDefault="00DE57A5" w:rsidP="00DE7A1D">
      <w:pPr>
        <w:pStyle w:val="65ReferencesTextstylesTextstyles"/>
        <w:rPr>
          <w:highlight w:val="yellow"/>
        </w:rPr>
      </w:pPr>
      <w:commentRangeStart w:id="24"/>
      <w:r w:rsidRPr="00DE57A5">
        <w:rPr>
          <w:highlight w:val="yellow"/>
        </w:rPr>
        <w:t>69.</w:t>
      </w:r>
      <w:r w:rsidRPr="00DE57A5">
        <w:rPr>
          <w:highlight w:val="yellow"/>
        </w:rPr>
        <w:tab/>
        <w:t xml:space="preserve">Petticrew M, Cummins S, Ferrell C, Findlay A, Higgins C, Hoy C, </w:t>
      </w:r>
      <w:r w:rsidRPr="00DE57A5">
        <w:rPr>
          <w:i/>
          <w:highlight w:val="yellow"/>
        </w:rPr>
        <w:t>et al</w:t>
      </w:r>
      <w:r w:rsidRPr="00DE57A5">
        <w:rPr>
          <w:highlight w:val="yellow"/>
        </w:rPr>
        <w:t xml:space="preserve">. Natural experiments: an underused tool for public health? </w:t>
      </w:r>
      <w:r w:rsidRPr="00DE57A5">
        <w:rPr>
          <w:i/>
          <w:highlight w:val="yellow"/>
        </w:rPr>
        <w:t>Public Health</w:t>
      </w:r>
      <w:r w:rsidRPr="00DE57A5">
        <w:rPr>
          <w:highlight w:val="yellow"/>
        </w:rPr>
        <w:t xml:space="preserve"> 2005;</w:t>
      </w:r>
      <w:r w:rsidRPr="00DE57A5">
        <w:rPr>
          <w:b/>
          <w:highlight w:val="yellow"/>
        </w:rPr>
        <w:t>119</w:t>
      </w:r>
      <w:r w:rsidRPr="00DE57A5">
        <w:rPr>
          <w:highlight w:val="yellow"/>
        </w:rPr>
        <w:t>:</w:t>
      </w:r>
      <w:r w:rsidRPr="00DE57A5">
        <w:rPr>
          <w:color w:val="auto"/>
          <w:highlight w:val="yellow"/>
        </w:rPr>
        <w:t>751</w:t>
      </w:r>
      <w:r w:rsidRPr="00DE57A5">
        <w:rPr>
          <w:color w:val="00B0F0"/>
          <w:highlight w:val="yellow"/>
        </w:rPr>
        <w:t>–</w:t>
      </w:r>
      <w:r w:rsidRPr="00DE57A5">
        <w:rPr>
          <w:color w:val="auto"/>
          <w:highlight w:val="yellow"/>
        </w:rPr>
        <w:t>7</w:t>
      </w:r>
      <w:r w:rsidRPr="00DE57A5">
        <w:rPr>
          <w:highlight w:val="yellow"/>
        </w:rPr>
        <w:t>.</w:t>
      </w:r>
      <w:commentRangeEnd w:id="24"/>
      <w:r>
        <w:rPr>
          <w:rStyle w:val="CommentReference"/>
          <w:rFonts w:ascii="Times New Roman" w:hAnsi="Times New Roman" w:cs="Times New Roman"/>
          <w:color w:val="auto"/>
          <w:u w:color="000000"/>
          <w:lang w:val="en-US"/>
        </w:rPr>
        <w:commentReference w:id="24"/>
      </w:r>
    </w:p>
    <w:p w14:paraId="31152DDE" w14:textId="68013DED" w:rsidR="00DE7A1D" w:rsidRPr="00DE7A1D" w:rsidRDefault="00DE7A1D" w:rsidP="00DE7A1D">
      <w:pPr>
        <w:pStyle w:val="65ReferencesTextstylesTextstyles"/>
      </w:pPr>
      <w:r w:rsidRPr="00DE7A1D">
        <w:t>70.</w:t>
      </w:r>
      <w:r w:rsidR="00DE57A5">
        <w:tab/>
      </w:r>
      <w:r w:rsidR="00CE281F" w:rsidRPr="00DE7A1D">
        <w:t>Lorgelly PK, Lawson KD, Fenwick EA, Briggs AH. Outcome measurement in economic evaluations of public health interventions: a role for the capability approach? International journal of environmental research and public health. 2010;7(5):2274-89.</w:t>
      </w:r>
    </w:p>
    <w:p w14:paraId="7D7740A2" w14:textId="00145B04" w:rsidR="00DE57A5" w:rsidRPr="00DE57A5" w:rsidRDefault="00DE57A5" w:rsidP="00DE7A1D">
      <w:pPr>
        <w:pStyle w:val="65ReferencesTextstylesTextstyles"/>
        <w:rPr>
          <w:highlight w:val="yellow"/>
        </w:rPr>
      </w:pPr>
      <w:commentRangeStart w:id="25"/>
      <w:r w:rsidRPr="00DE57A5">
        <w:rPr>
          <w:highlight w:val="yellow"/>
        </w:rPr>
        <w:t>71.</w:t>
      </w:r>
      <w:r w:rsidRPr="00DE57A5">
        <w:rPr>
          <w:highlight w:val="yellow"/>
        </w:rPr>
        <w:tab/>
        <w:t xml:space="preserve">Weatherly H, Drummond M, Claxton K, Cookson R, Ferguson B, Godfrey C, </w:t>
      </w:r>
      <w:r w:rsidRPr="00DE57A5">
        <w:rPr>
          <w:i/>
          <w:highlight w:val="yellow"/>
        </w:rPr>
        <w:t>et al</w:t>
      </w:r>
      <w:r w:rsidRPr="00DE57A5">
        <w:rPr>
          <w:highlight w:val="yellow"/>
        </w:rPr>
        <w:t xml:space="preserve">. Methods for assessing the cost-effectiveness of public health interventions: key challenges and recommendations. </w:t>
      </w:r>
      <w:r w:rsidRPr="00DE57A5">
        <w:rPr>
          <w:i/>
          <w:highlight w:val="yellow"/>
        </w:rPr>
        <w:t>Health Policy</w:t>
      </w:r>
      <w:r w:rsidRPr="00DE57A5">
        <w:rPr>
          <w:highlight w:val="yellow"/>
        </w:rPr>
        <w:t xml:space="preserve"> 2009;</w:t>
      </w:r>
      <w:r w:rsidRPr="00DE57A5">
        <w:rPr>
          <w:b/>
          <w:highlight w:val="yellow"/>
        </w:rPr>
        <w:t>93</w:t>
      </w:r>
      <w:r w:rsidRPr="00DE57A5">
        <w:rPr>
          <w:highlight w:val="yellow"/>
        </w:rPr>
        <w:t>:</w:t>
      </w:r>
      <w:r w:rsidRPr="00DE57A5">
        <w:rPr>
          <w:color w:val="auto"/>
          <w:highlight w:val="yellow"/>
        </w:rPr>
        <w:t>85</w:t>
      </w:r>
      <w:r w:rsidRPr="00DE57A5">
        <w:rPr>
          <w:color w:val="00B0F0"/>
          <w:highlight w:val="yellow"/>
        </w:rPr>
        <w:t>–</w:t>
      </w:r>
      <w:r w:rsidRPr="00DE57A5">
        <w:rPr>
          <w:color w:val="auto"/>
          <w:highlight w:val="yellow"/>
        </w:rPr>
        <w:t>92</w:t>
      </w:r>
      <w:r w:rsidRPr="00DE57A5">
        <w:rPr>
          <w:highlight w:val="yellow"/>
        </w:rPr>
        <w:t>. https://doi.org/10.1016/j.healthpol.2009.07.012</w:t>
      </w:r>
      <w:commentRangeEnd w:id="25"/>
      <w:r>
        <w:rPr>
          <w:rStyle w:val="CommentReference"/>
          <w:rFonts w:ascii="Times New Roman" w:hAnsi="Times New Roman" w:cs="Times New Roman"/>
          <w:color w:val="auto"/>
          <w:u w:color="000000"/>
          <w:lang w:val="en-US"/>
        </w:rPr>
        <w:commentReference w:id="25"/>
      </w:r>
    </w:p>
    <w:p w14:paraId="32D312F1" w14:textId="45803293" w:rsidR="00DE7A1D" w:rsidRPr="00DE7A1D" w:rsidRDefault="00DE7A1D" w:rsidP="00DE7A1D">
      <w:pPr>
        <w:pStyle w:val="65ReferencesTextstylesTextstyles"/>
      </w:pPr>
      <w:r w:rsidRPr="00DE7A1D">
        <w:t>72.</w:t>
      </w:r>
      <w:r w:rsidR="00DE57A5">
        <w:tab/>
      </w:r>
      <w:r w:rsidR="00CE281F" w:rsidRPr="00DE7A1D">
        <w:t>Drummond M, Weatherly H, Claxton K, Cookson R, Ferguson B, Godfrey C, et al. Assessing the challenges of applying standard methods of economic evaluation to public health interventions. Public Health Research Consortium, York. 2007.</w:t>
      </w:r>
    </w:p>
    <w:p w14:paraId="34044F1F" w14:textId="27F4661F" w:rsidR="00DE57A5" w:rsidRPr="00DE57A5" w:rsidRDefault="00DE57A5" w:rsidP="00DE7A1D">
      <w:pPr>
        <w:pStyle w:val="65ReferencesTextstylesTextstyles"/>
        <w:rPr>
          <w:highlight w:val="yellow"/>
        </w:rPr>
      </w:pPr>
      <w:commentRangeStart w:id="26"/>
      <w:commentRangeStart w:id="27"/>
      <w:r w:rsidRPr="00DE57A5">
        <w:rPr>
          <w:highlight w:val="yellow"/>
        </w:rPr>
        <w:t>73.</w:t>
      </w:r>
      <w:r w:rsidRPr="00DE57A5">
        <w:rPr>
          <w:highlight w:val="yellow"/>
        </w:rPr>
        <w:tab/>
        <w:t xml:space="preserve">von Elm E, Altman DG, Egger M, Pocock SJ, Gøtzsche PC, Vandenbroucke JP, STROBE Initiative. The Strengthening the Reporting of Observational Studies in Epidemiology (STROBE) Statement: guidelines for reporting observational studies. </w:t>
      </w:r>
      <w:r w:rsidRPr="00DE57A5">
        <w:rPr>
          <w:i/>
          <w:highlight w:val="yellow"/>
        </w:rPr>
        <w:t>Int J Surg</w:t>
      </w:r>
      <w:r w:rsidRPr="00DE57A5">
        <w:rPr>
          <w:highlight w:val="yellow"/>
        </w:rPr>
        <w:t xml:space="preserve"> 2014;</w:t>
      </w:r>
      <w:r w:rsidRPr="00DE57A5">
        <w:rPr>
          <w:b/>
          <w:highlight w:val="yellow"/>
        </w:rPr>
        <w:t>12</w:t>
      </w:r>
      <w:r w:rsidRPr="00DE57A5">
        <w:rPr>
          <w:highlight w:val="yellow"/>
        </w:rPr>
        <w:t>:</w:t>
      </w:r>
      <w:r w:rsidRPr="00DE57A5">
        <w:rPr>
          <w:color w:val="auto"/>
          <w:highlight w:val="yellow"/>
        </w:rPr>
        <w:t>1495</w:t>
      </w:r>
      <w:r w:rsidRPr="00DE57A5">
        <w:rPr>
          <w:color w:val="00B0F0"/>
          <w:highlight w:val="yellow"/>
        </w:rPr>
        <w:t>–</w:t>
      </w:r>
      <w:r w:rsidRPr="00DE57A5">
        <w:rPr>
          <w:color w:val="auto"/>
          <w:highlight w:val="yellow"/>
        </w:rPr>
        <w:t>9</w:t>
      </w:r>
      <w:r w:rsidRPr="00DE57A5">
        <w:rPr>
          <w:highlight w:val="yellow"/>
        </w:rPr>
        <w:t>. https://doi.org/10.1016/j.ijsu.2014.07.013</w:t>
      </w:r>
      <w:commentRangeEnd w:id="26"/>
      <w:r>
        <w:rPr>
          <w:rStyle w:val="CommentReference"/>
          <w:rFonts w:ascii="Times New Roman" w:hAnsi="Times New Roman" w:cs="Times New Roman"/>
          <w:color w:val="auto"/>
          <w:u w:color="000000"/>
          <w:lang w:val="en-US"/>
        </w:rPr>
        <w:commentReference w:id="26"/>
      </w:r>
      <w:commentRangeEnd w:id="27"/>
      <w:r>
        <w:rPr>
          <w:rStyle w:val="CommentReference"/>
          <w:rFonts w:ascii="Times New Roman" w:hAnsi="Times New Roman" w:cs="Times New Roman"/>
          <w:color w:val="auto"/>
          <w:u w:color="000000"/>
          <w:lang w:val="en-US"/>
        </w:rPr>
        <w:commentReference w:id="27"/>
      </w:r>
    </w:p>
    <w:p w14:paraId="48F96543" w14:textId="65FE798B" w:rsidR="00DE57A5" w:rsidRPr="00DE57A5" w:rsidRDefault="00DE57A5" w:rsidP="00DE7A1D">
      <w:pPr>
        <w:pStyle w:val="65ReferencesTextstylesTextstyles"/>
        <w:rPr>
          <w:highlight w:val="yellow"/>
        </w:rPr>
      </w:pPr>
      <w:commentRangeStart w:id="28"/>
      <w:commentRangeStart w:id="29"/>
      <w:r w:rsidRPr="00DE57A5">
        <w:rPr>
          <w:highlight w:val="yellow"/>
        </w:rPr>
        <w:t>74.</w:t>
      </w:r>
      <w:r w:rsidRPr="00DE57A5">
        <w:rPr>
          <w:highlight w:val="yellow"/>
        </w:rPr>
        <w:tab/>
        <w:t xml:space="preserve">Des Jarlais DC, Lyles C, Crepaz N, TREND Group. Improving the reporting quality of nonrandomized evaluations of behavioral and public health interventions: the TREND statement. </w:t>
      </w:r>
      <w:r w:rsidRPr="00DE57A5">
        <w:rPr>
          <w:i/>
          <w:highlight w:val="yellow"/>
        </w:rPr>
        <w:t>Am J Public Health</w:t>
      </w:r>
      <w:r w:rsidRPr="00DE57A5">
        <w:rPr>
          <w:highlight w:val="yellow"/>
        </w:rPr>
        <w:t xml:space="preserve"> 2004;</w:t>
      </w:r>
      <w:r w:rsidRPr="00DE57A5">
        <w:rPr>
          <w:b/>
          <w:highlight w:val="yellow"/>
        </w:rPr>
        <w:t>94</w:t>
      </w:r>
      <w:r w:rsidRPr="00DE57A5">
        <w:rPr>
          <w:highlight w:val="yellow"/>
        </w:rPr>
        <w:t>:</w:t>
      </w:r>
      <w:r w:rsidRPr="00DE57A5">
        <w:rPr>
          <w:color w:val="auto"/>
          <w:highlight w:val="yellow"/>
        </w:rPr>
        <w:t>361</w:t>
      </w:r>
      <w:r w:rsidRPr="00DE57A5">
        <w:rPr>
          <w:color w:val="00B0F0"/>
          <w:highlight w:val="yellow"/>
        </w:rPr>
        <w:t>–</w:t>
      </w:r>
      <w:r w:rsidRPr="00DE57A5">
        <w:rPr>
          <w:color w:val="auto"/>
          <w:highlight w:val="yellow"/>
        </w:rPr>
        <w:t>6</w:t>
      </w:r>
      <w:r w:rsidRPr="00DE57A5">
        <w:rPr>
          <w:highlight w:val="yellow"/>
        </w:rPr>
        <w:t>.</w:t>
      </w:r>
      <w:commentRangeEnd w:id="28"/>
      <w:r>
        <w:rPr>
          <w:rStyle w:val="CommentReference"/>
          <w:rFonts w:ascii="Times New Roman" w:hAnsi="Times New Roman" w:cs="Times New Roman"/>
          <w:color w:val="auto"/>
          <w:u w:color="000000"/>
          <w:lang w:val="en-US"/>
        </w:rPr>
        <w:commentReference w:id="28"/>
      </w:r>
      <w:commentRangeEnd w:id="29"/>
      <w:r>
        <w:rPr>
          <w:rStyle w:val="CommentReference"/>
          <w:rFonts w:ascii="Times New Roman" w:hAnsi="Times New Roman" w:cs="Times New Roman"/>
          <w:color w:val="auto"/>
          <w:u w:color="000000"/>
          <w:lang w:val="en-US"/>
        </w:rPr>
        <w:commentReference w:id="29"/>
      </w:r>
    </w:p>
    <w:p w14:paraId="71726AB7" w14:textId="6E89BF81" w:rsidR="00DE57A5" w:rsidRPr="00DE57A5" w:rsidRDefault="00DE57A5" w:rsidP="00DE7A1D">
      <w:pPr>
        <w:pStyle w:val="65ReferencesTextstylesTextstyles"/>
        <w:rPr>
          <w:highlight w:val="yellow"/>
        </w:rPr>
      </w:pPr>
      <w:commentRangeStart w:id="30"/>
      <w:r w:rsidRPr="00DE57A5">
        <w:rPr>
          <w:highlight w:val="yellow"/>
        </w:rPr>
        <w:t>75.</w:t>
      </w:r>
      <w:r w:rsidRPr="00DE57A5">
        <w:rPr>
          <w:highlight w:val="yellow"/>
        </w:rPr>
        <w:tab/>
        <w:t xml:space="preserve">Smith RD, Petticrew M. Public health evaluation in the twenty-first century: time to see the wood as well as the trees. </w:t>
      </w:r>
      <w:r w:rsidRPr="00DE57A5">
        <w:rPr>
          <w:i/>
          <w:highlight w:val="yellow"/>
        </w:rPr>
        <w:t>J Public Health</w:t>
      </w:r>
      <w:r w:rsidRPr="00DE57A5">
        <w:rPr>
          <w:highlight w:val="yellow"/>
        </w:rPr>
        <w:t xml:space="preserve"> 2010;</w:t>
      </w:r>
      <w:r w:rsidRPr="00DE57A5">
        <w:rPr>
          <w:b/>
          <w:highlight w:val="yellow"/>
        </w:rPr>
        <w:t>32</w:t>
      </w:r>
      <w:r w:rsidRPr="00DE57A5">
        <w:rPr>
          <w:highlight w:val="yellow"/>
        </w:rPr>
        <w:t>:</w:t>
      </w:r>
      <w:r w:rsidRPr="00DE57A5">
        <w:rPr>
          <w:color w:val="auto"/>
          <w:highlight w:val="yellow"/>
        </w:rPr>
        <w:t>2</w:t>
      </w:r>
      <w:r w:rsidRPr="00DE57A5">
        <w:rPr>
          <w:color w:val="00B0F0"/>
          <w:highlight w:val="yellow"/>
        </w:rPr>
        <w:t>–</w:t>
      </w:r>
      <w:r w:rsidRPr="00DE57A5">
        <w:rPr>
          <w:color w:val="auto"/>
          <w:highlight w:val="yellow"/>
        </w:rPr>
        <w:t>7</w:t>
      </w:r>
      <w:r w:rsidRPr="00DE57A5">
        <w:rPr>
          <w:highlight w:val="yellow"/>
        </w:rPr>
        <w:t>. https://doi.org/10.1093/pubmed/fdp122</w:t>
      </w:r>
      <w:commentRangeEnd w:id="30"/>
      <w:r>
        <w:rPr>
          <w:rStyle w:val="CommentReference"/>
          <w:rFonts w:ascii="Times New Roman" w:hAnsi="Times New Roman" w:cs="Times New Roman"/>
          <w:color w:val="auto"/>
          <w:u w:color="000000"/>
          <w:lang w:val="en-US"/>
        </w:rPr>
        <w:commentReference w:id="30"/>
      </w:r>
    </w:p>
    <w:p w14:paraId="43EC8D88" w14:textId="3584BB4A" w:rsidR="00DE57A5" w:rsidRPr="00DE57A5" w:rsidRDefault="00DE57A5" w:rsidP="00DE7A1D">
      <w:pPr>
        <w:pStyle w:val="65ReferencesTextstylesTextstyles"/>
        <w:rPr>
          <w:highlight w:val="yellow"/>
        </w:rPr>
      </w:pPr>
      <w:commentRangeStart w:id="31"/>
      <w:r w:rsidRPr="00DE57A5">
        <w:rPr>
          <w:highlight w:val="yellow"/>
        </w:rPr>
        <w:t>76.</w:t>
      </w:r>
      <w:r w:rsidRPr="00DE57A5">
        <w:rPr>
          <w:highlight w:val="yellow"/>
        </w:rPr>
        <w:tab/>
        <w:t xml:space="preserve">Kreif N, Grieve R, Sadique MZ. Statistical methods for cost-effectiveness analyses that use observational data: a critical appraisal tool and review of current practice. </w:t>
      </w:r>
      <w:r w:rsidRPr="00DE57A5">
        <w:rPr>
          <w:i/>
          <w:highlight w:val="yellow"/>
        </w:rPr>
        <w:t>Health Econ</w:t>
      </w:r>
      <w:r w:rsidRPr="00DE57A5">
        <w:rPr>
          <w:highlight w:val="yellow"/>
        </w:rPr>
        <w:t xml:space="preserve"> 2013;</w:t>
      </w:r>
      <w:r w:rsidRPr="00DE57A5">
        <w:rPr>
          <w:b/>
          <w:highlight w:val="yellow"/>
        </w:rPr>
        <w:t>22</w:t>
      </w:r>
      <w:r w:rsidRPr="00DE57A5">
        <w:rPr>
          <w:highlight w:val="yellow"/>
        </w:rPr>
        <w:t>:</w:t>
      </w:r>
      <w:r w:rsidRPr="00DE57A5">
        <w:rPr>
          <w:color w:val="auto"/>
          <w:highlight w:val="yellow"/>
        </w:rPr>
        <w:t>486</w:t>
      </w:r>
      <w:r w:rsidRPr="00DE57A5">
        <w:rPr>
          <w:color w:val="00B0F0"/>
          <w:highlight w:val="yellow"/>
        </w:rPr>
        <w:t>–</w:t>
      </w:r>
      <w:r w:rsidRPr="00DE57A5">
        <w:rPr>
          <w:color w:val="auto"/>
          <w:highlight w:val="yellow"/>
        </w:rPr>
        <w:t>500</w:t>
      </w:r>
      <w:r w:rsidRPr="00DE57A5">
        <w:rPr>
          <w:highlight w:val="yellow"/>
        </w:rPr>
        <w:t>. https://doi.org/10.1002/hec.2806</w:t>
      </w:r>
      <w:commentRangeEnd w:id="31"/>
      <w:r>
        <w:rPr>
          <w:rStyle w:val="CommentReference"/>
          <w:rFonts w:ascii="Times New Roman" w:hAnsi="Times New Roman" w:cs="Times New Roman"/>
          <w:color w:val="auto"/>
          <w:u w:color="000000"/>
          <w:lang w:val="en-US"/>
        </w:rPr>
        <w:commentReference w:id="31"/>
      </w:r>
    </w:p>
    <w:p w14:paraId="7E49CD4A" w14:textId="2A45C95A" w:rsidR="00DE7A1D" w:rsidRPr="00DE7A1D" w:rsidRDefault="00DE7A1D" w:rsidP="00DE7A1D">
      <w:pPr>
        <w:pStyle w:val="65ReferencesTextstylesTextstyles"/>
      </w:pPr>
      <w:r w:rsidRPr="00DE7A1D">
        <w:lastRenderedPageBreak/>
        <w:t>77.</w:t>
      </w:r>
      <w:r w:rsidR="00DE57A5">
        <w:tab/>
      </w:r>
      <w:r w:rsidR="00CE281F" w:rsidRPr="00DE7A1D">
        <w:t>Manca A, Austin PC. Using propensity score methods to analyse individual patient level cost effectiveness data from observational studies. The University of York: Health Economics and Data Group Working Paper. 2008;8:20.</w:t>
      </w:r>
    </w:p>
    <w:p w14:paraId="4C15D7DF" w14:textId="4011D070" w:rsidR="00DE57A5" w:rsidRPr="00DE57A5" w:rsidRDefault="00DE57A5" w:rsidP="00DE7A1D">
      <w:pPr>
        <w:pStyle w:val="65ReferencesTextstylesTextstyles"/>
        <w:rPr>
          <w:highlight w:val="yellow"/>
        </w:rPr>
      </w:pPr>
      <w:commentRangeStart w:id="32"/>
      <w:r w:rsidRPr="00DE57A5">
        <w:rPr>
          <w:highlight w:val="yellow"/>
        </w:rPr>
        <w:t>78.</w:t>
      </w:r>
      <w:r w:rsidRPr="00DE57A5">
        <w:rPr>
          <w:highlight w:val="yellow"/>
        </w:rPr>
        <w:tab/>
        <w:t xml:space="preserve">Craig P, Katikireddi SV, Leyland A, Popham F. Natural Experiments: An Overview of Methods, Approaches, and Contributions to Public Health Intervention Research. </w:t>
      </w:r>
      <w:r w:rsidRPr="00DE57A5">
        <w:rPr>
          <w:i/>
          <w:highlight w:val="yellow"/>
        </w:rPr>
        <w:t>Annu Rev Public Health</w:t>
      </w:r>
      <w:r w:rsidRPr="00DE57A5">
        <w:rPr>
          <w:highlight w:val="yellow"/>
        </w:rPr>
        <w:t xml:space="preserve"> 2017;</w:t>
      </w:r>
      <w:r w:rsidRPr="00DE57A5">
        <w:rPr>
          <w:b/>
          <w:highlight w:val="yellow"/>
        </w:rPr>
        <w:t>38</w:t>
      </w:r>
      <w:r w:rsidRPr="00DE57A5">
        <w:rPr>
          <w:highlight w:val="yellow"/>
        </w:rPr>
        <w:t>:</w:t>
      </w:r>
      <w:r w:rsidRPr="00DE57A5">
        <w:rPr>
          <w:color w:val="auto"/>
          <w:highlight w:val="yellow"/>
        </w:rPr>
        <w:t>39</w:t>
      </w:r>
      <w:r w:rsidRPr="00DE57A5">
        <w:rPr>
          <w:color w:val="00B0F0"/>
          <w:highlight w:val="yellow"/>
        </w:rPr>
        <w:t>–</w:t>
      </w:r>
      <w:r w:rsidRPr="00DE57A5">
        <w:rPr>
          <w:color w:val="auto"/>
          <w:highlight w:val="yellow"/>
        </w:rPr>
        <w:t>56</w:t>
      </w:r>
      <w:r w:rsidRPr="00DE57A5">
        <w:rPr>
          <w:highlight w:val="yellow"/>
        </w:rPr>
        <w:t>. https://doi.org/10.1146/annurev-publhealth-031816-044327</w:t>
      </w:r>
      <w:commentRangeEnd w:id="32"/>
      <w:r>
        <w:rPr>
          <w:rStyle w:val="CommentReference"/>
          <w:rFonts w:ascii="Times New Roman" w:hAnsi="Times New Roman" w:cs="Times New Roman"/>
          <w:color w:val="auto"/>
          <w:u w:color="000000"/>
          <w:lang w:val="en-US"/>
        </w:rPr>
        <w:commentReference w:id="32"/>
      </w:r>
    </w:p>
    <w:p w14:paraId="2A4E2AC3" w14:textId="04D81FCC" w:rsidR="00DE7A1D" w:rsidRPr="00DE7A1D" w:rsidRDefault="00DE7A1D" w:rsidP="00DE7A1D">
      <w:pPr>
        <w:pStyle w:val="65ReferencesTextstylesTextstyles"/>
      </w:pPr>
      <w:r w:rsidRPr="00DE7A1D">
        <w:t>79.</w:t>
      </w:r>
      <w:r w:rsidR="00DE57A5">
        <w:tab/>
      </w:r>
      <w:r w:rsidR="00CE281F" w:rsidRPr="00DE7A1D">
        <w:t>Leyland AH, Ouédraogo S, Nam J, Bond L, Briggs AH, Gray R, et al. Evaluation of health in pregnancy grants in Scotland: a natural experiment using routine data. Public Health Research. 2017;5(6).</w:t>
      </w:r>
    </w:p>
    <w:p w14:paraId="1FA40F85" w14:textId="06762844" w:rsidR="00DE57A5" w:rsidRPr="00DE57A5" w:rsidRDefault="00DE57A5" w:rsidP="00DE7A1D">
      <w:pPr>
        <w:pStyle w:val="65ReferencesTextstylesTextstyles"/>
        <w:rPr>
          <w:highlight w:val="yellow"/>
        </w:rPr>
      </w:pPr>
      <w:commentRangeStart w:id="33"/>
      <w:r w:rsidRPr="00DE57A5">
        <w:rPr>
          <w:highlight w:val="yellow"/>
        </w:rPr>
        <w:t>80.</w:t>
      </w:r>
      <w:r w:rsidRPr="00DE57A5">
        <w:rPr>
          <w:highlight w:val="yellow"/>
        </w:rPr>
        <w:tab/>
        <w:t xml:space="preserve">Alfonso YN, Bishai D, Bua J, Mutebi A, Mayora C, Ekirapa-Kiracho E. Cost-effectiveness analysis of a voucher scheme combined with obstetrical quality improvements: quasi experimental results from Uganda. </w:t>
      </w:r>
      <w:r w:rsidRPr="00DE57A5">
        <w:rPr>
          <w:i/>
          <w:highlight w:val="yellow"/>
        </w:rPr>
        <w:t>Health Policy Plan</w:t>
      </w:r>
      <w:r w:rsidRPr="00DE57A5">
        <w:rPr>
          <w:highlight w:val="yellow"/>
        </w:rPr>
        <w:t xml:space="preserve"> 2015;</w:t>
      </w:r>
      <w:r w:rsidRPr="00DE57A5">
        <w:rPr>
          <w:b/>
          <w:highlight w:val="yellow"/>
        </w:rPr>
        <w:t>30</w:t>
      </w:r>
      <w:r w:rsidRPr="00DE57A5">
        <w:rPr>
          <w:highlight w:val="yellow"/>
        </w:rPr>
        <w:t>:</w:t>
      </w:r>
      <w:r w:rsidRPr="00DE57A5">
        <w:rPr>
          <w:color w:val="auto"/>
          <w:highlight w:val="yellow"/>
        </w:rPr>
        <w:t>88</w:t>
      </w:r>
      <w:r w:rsidRPr="00DE57A5">
        <w:rPr>
          <w:color w:val="00B0F0"/>
          <w:highlight w:val="yellow"/>
        </w:rPr>
        <w:t>–</w:t>
      </w:r>
      <w:r w:rsidRPr="00DE57A5">
        <w:rPr>
          <w:color w:val="auto"/>
          <w:highlight w:val="yellow"/>
        </w:rPr>
        <w:t>99</w:t>
      </w:r>
      <w:r w:rsidRPr="00DE57A5">
        <w:rPr>
          <w:highlight w:val="yellow"/>
        </w:rPr>
        <w:t>. https://doi.org/10.1093/heapol/czt100</w:t>
      </w:r>
      <w:commentRangeEnd w:id="33"/>
      <w:r>
        <w:rPr>
          <w:rStyle w:val="CommentReference"/>
          <w:rFonts w:ascii="Times New Roman" w:hAnsi="Times New Roman" w:cs="Times New Roman"/>
          <w:color w:val="auto"/>
          <w:u w:color="000000"/>
          <w:lang w:val="en-US"/>
        </w:rPr>
        <w:commentReference w:id="33"/>
      </w:r>
    </w:p>
    <w:p w14:paraId="41003F92" w14:textId="6378F67D" w:rsidR="00DE7A1D" w:rsidRPr="00DE7A1D" w:rsidRDefault="00DE7A1D" w:rsidP="00DE7A1D">
      <w:pPr>
        <w:pStyle w:val="65ReferencesTextstylesTextstyles"/>
      </w:pPr>
      <w:r w:rsidRPr="00DE7A1D">
        <w:t>81.</w:t>
      </w:r>
      <w:r w:rsidR="00DE57A5">
        <w:tab/>
      </w:r>
      <w:r w:rsidR="00CE281F" w:rsidRPr="00DE7A1D">
        <w:t>Craig, Cooper C, Gunnell D, Haw S, Lawson K, Macintyre S, et al. Using natural experiments to evaluate population health interventions. Glasgow, UK: Medical Research Council. 2011.</w:t>
      </w:r>
    </w:p>
    <w:p w14:paraId="57DD29BF" w14:textId="1C9172E2" w:rsidR="00DE7A1D" w:rsidRPr="00DE7A1D" w:rsidRDefault="00DE7A1D" w:rsidP="00DE7A1D">
      <w:pPr>
        <w:pStyle w:val="65ReferencesTextstylesTextstyles"/>
      </w:pPr>
      <w:r w:rsidRPr="00DE7A1D">
        <w:t>82.</w:t>
      </w:r>
      <w:r w:rsidR="00DE57A5">
        <w:tab/>
      </w:r>
      <w:r w:rsidR="00CE281F" w:rsidRPr="00DE7A1D">
        <w:t>Edwards RT, McIntosh E. Applied health economics for public health practice and research: Oxford University Press; 2019.</w:t>
      </w:r>
    </w:p>
    <w:p w14:paraId="7AD31694" w14:textId="4393DB8E" w:rsidR="00DE7A1D" w:rsidRPr="00DE7A1D" w:rsidRDefault="00DE7A1D" w:rsidP="00DE7A1D">
      <w:pPr>
        <w:pStyle w:val="65ReferencesTextstylesTextstyles"/>
      </w:pPr>
      <w:r w:rsidRPr="00DE7A1D">
        <w:t>83.</w:t>
      </w:r>
      <w:r w:rsidR="00DE57A5">
        <w:tab/>
      </w:r>
      <w:r w:rsidR="00CE281F" w:rsidRPr="00DE7A1D">
        <w:t>Drummond MF, Sculpher MJ, Claxton K, Stoddart GL, Torrance GW. Methods for the economic evaluation of health care programmes: Oxford university press; 2015.</w:t>
      </w:r>
    </w:p>
    <w:p w14:paraId="5DA7DD2F" w14:textId="25EF8319" w:rsidR="00DE7A1D" w:rsidRPr="00DE7A1D" w:rsidRDefault="00DE7A1D" w:rsidP="00DE7A1D">
      <w:pPr>
        <w:pStyle w:val="65ReferencesTextstylesTextstyles"/>
      </w:pPr>
      <w:r w:rsidRPr="00DE7A1D">
        <w:t>84.</w:t>
      </w:r>
      <w:r w:rsidR="00DE57A5">
        <w:tab/>
      </w:r>
      <w:r w:rsidR="00CE281F" w:rsidRPr="00DE7A1D">
        <w:t>NICE. Guide to the methods of technology appraisal. 2013.</w:t>
      </w:r>
    </w:p>
    <w:p w14:paraId="4E8E7CB1" w14:textId="7DF3686E" w:rsidR="00DE57A5" w:rsidRPr="00DE57A5" w:rsidRDefault="00DE57A5" w:rsidP="00DE7A1D">
      <w:pPr>
        <w:pStyle w:val="65ReferencesTextstylesTextstyles"/>
        <w:rPr>
          <w:highlight w:val="yellow"/>
        </w:rPr>
      </w:pPr>
      <w:commentRangeStart w:id="34"/>
      <w:r w:rsidRPr="00DE57A5">
        <w:rPr>
          <w:highlight w:val="yellow"/>
        </w:rPr>
        <w:t>85.</w:t>
      </w:r>
      <w:r w:rsidRPr="00DE57A5">
        <w:rPr>
          <w:highlight w:val="yellow"/>
        </w:rPr>
        <w:tab/>
        <w:t xml:space="preserve">Dundas R, Ouédraogo S, Bond L, Briggs AH, Chalmers J, Gray R, </w:t>
      </w:r>
      <w:r w:rsidRPr="00DE57A5">
        <w:rPr>
          <w:i/>
          <w:highlight w:val="yellow"/>
        </w:rPr>
        <w:t>et al</w:t>
      </w:r>
      <w:r w:rsidRPr="00DE57A5">
        <w:rPr>
          <w:highlight w:val="yellow"/>
        </w:rPr>
        <w:t xml:space="preserve">. Evaluation of health in pregnancy grants in Scotland: a protocol for a natural experiment. </w:t>
      </w:r>
      <w:r w:rsidRPr="00DE57A5">
        <w:rPr>
          <w:i/>
          <w:highlight w:val="yellow"/>
        </w:rPr>
        <w:t>BMJ Open</w:t>
      </w:r>
      <w:r w:rsidRPr="00DE57A5">
        <w:rPr>
          <w:highlight w:val="yellow"/>
        </w:rPr>
        <w:t xml:space="preserve"> 2014;</w:t>
      </w:r>
      <w:r w:rsidRPr="00DE57A5">
        <w:rPr>
          <w:b/>
          <w:highlight w:val="yellow"/>
        </w:rPr>
        <w:t>4</w:t>
      </w:r>
      <w:r w:rsidRPr="00DE57A5">
        <w:rPr>
          <w:highlight w:val="yellow"/>
        </w:rPr>
        <w:t>:</w:t>
      </w:r>
      <w:r w:rsidRPr="00DE57A5">
        <w:rPr>
          <w:color w:val="auto"/>
          <w:highlight w:val="yellow"/>
        </w:rPr>
        <w:t>e006547</w:t>
      </w:r>
      <w:r w:rsidRPr="00DE57A5">
        <w:rPr>
          <w:highlight w:val="yellow"/>
        </w:rPr>
        <w:t>. https://doi.org/10.1136/bmjopen-2014-006547</w:t>
      </w:r>
      <w:commentRangeEnd w:id="34"/>
      <w:r>
        <w:rPr>
          <w:rStyle w:val="CommentReference"/>
          <w:rFonts w:ascii="Times New Roman" w:hAnsi="Times New Roman" w:cs="Times New Roman"/>
          <w:color w:val="auto"/>
          <w:u w:color="000000"/>
          <w:lang w:val="en-US"/>
        </w:rPr>
        <w:commentReference w:id="34"/>
      </w:r>
    </w:p>
    <w:p w14:paraId="13233622" w14:textId="3C1FB55C" w:rsidR="00DE7A1D" w:rsidRPr="00DE7A1D" w:rsidRDefault="00DE7A1D" w:rsidP="00DE7A1D">
      <w:pPr>
        <w:pStyle w:val="65ReferencesTextstylesTextstyles"/>
      </w:pPr>
      <w:r w:rsidRPr="00DE7A1D">
        <w:t>86.</w:t>
      </w:r>
      <w:r w:rsidR="00DE57A5">
        <w:tab/>
      </w:r>
      <w:r w:rsidR="00CE281F" w:rsidRPr="00DE7A1D">
        <w:t>Health Do, Care S. NHS reference costs 2011/ 2012. Department of Health and Social Care London, UK; 2016.</w:t>
      </w:r>
    </w:p>
    <w:p w14:paraId="6542D06F" w14:textId="12481B53" w:rsidR="00DE7A1D" w:rsidRPr="00DE7A1D" w:rsidRDefault="00DE7A1D" w:rsidP="00DE7A1D">
      <w:pPr>
        <w:pStyle w:val="65ReferencesTextstylesTextstyles"/>
      </w:pPr>
      <w:r w:rsidRPr="00DE7A1D">
        <w:t>87.</w:t>
      </w:r>
      <w:r w:rsidR="00DE57A5">
        <w:tab/>
      </w:r>
      <w:r w:rsidR="00CE281F" w:rsidRPr="00DE7A1D">
        <w:t>Royal Pharmaceutical Society of Great Britain. British National Formulary: Royal Pharmaceutical Society; 2011.</w:t>
      </w:r>
    </w:p>
    <w:p w14:paraId="5DE82E61" w14:textId="68DFA959" w:rsidR="00DE7A1D" w:rsidRPr="00DE7A1D" w:rsidRDefault="00DE7A1D" w:rsidP="00DE7A1D">
      <w:pPr>
        <w:pStyle w:val="65ReferencesTextstylesTextstyles"/>
      </w:pPr>
      <w:r w:rsidRPr="00DE7A1D">
        <w:t>88.</w:t>
      </w:r>
      <w:r w:rsidR="00DE57A5">
        <w:tab/>
      </w:r>
      <w:r w:rsidR="00CE281F" w:rsidRPr="00DE7A1D">
        <w:t>Curtis L NA. Unit costs of health and social care 2004. Personal Social Services Unit, Canterbury, 2012, PSSRU 2012. 2012.</w:t>
      </w:r>
    </w:p>
    <w:p w14:paraId="7FAE5B21" w14:textId="6A86CC0F" w:rsidR="00DE7A1D" w:rsidRPr="00DE7A1D" w:rsidRDefault="00DE7A1D" w:rsidP="00DE7A1D">
      <w:pPr>
        <w:pStyle w:val="65ReferencesTextstylesTextstyles"/>
      </w:pPr>
      <w:r w:rsidRPr="00DE7A1D">
        <w:t>89.</w:t>
      </w:r>
      <w:r w:rsidR="00DE57A5">
        <w:tab/>
      </w:r>
      <w:r w:rsidR="00CE281F" w:rsidRPr="00DE7A1D">
        <w:t>Kreif N, Grieve R, Radice R, Sekhon JS. Regression-adjusted matching and double-robust methods for estimating average treatment effects in health economic evaluation. Health Services and Outcomes Research Methodology. 2013;13(2-4):174-202.</w:t>
      </w:r>
    </w:p>
    <w:p w14:paraId="75550C1B" w14:textId="0F76279A" w:rsidR="00DE7A1D" w:rsidRPr="00DE7A1D" w:rsidRDefault="00DE7A1D" w:rsidP="00DE7A1D">
      <w:pPr>
        <w:pStyle w:val="65ReferencesTextstylesTextstyles"/>
      </w:pPr>
      <w:r w:rsidRPr="00DE7A1D">
        <w:t>90.</w:t>
      </w:r>
      <w:r w:rsidR="00DE57A5">
        <w:tab/>
      </w:r>
      <w:r w:rsidR="00CE281F" w:rsidRPr="00DE7A1D">
        <w:t>Rosenbaum PR. Observational studies.  Observational Studies: Springer; 2002. p. 1-17.</w:t>
      </w:r>
    </w:p>
    <w:p w14:paraId="51565EB4" w14:textId="3F60DD75" w:rsidR="00DE7A1D" w:rsidRPr="00DE7A1D" w:rsidRDefault="00DE7A1D" w:rsidP="00DE7A1D">
      <w:pPr>
        <w:pStyle w:val="65ReferencesTextstylesTextstyles"/>
      </w:pPr>
      <w:r w:rsidRPr="00DE7A1D">
        <w:t>91.</w:t>
      </w:r>
      <w:r w:rsidR="00DE57A5">
        <w:tab/>
      </w:r>
      <w:r w:rsidR="00CE281F" w:rsidRPr="00DE7A1D">
        <w:t>Becker SO, Caliendo M. Sensitivity analysis for average treatment effects. The stata journal. 2007;7(1):71-83.</w:t>
      </w:r>
    </w:p>
    <w:p w14:paraId="2268D161" w14:textId="1FD7ECCD" w:rsidR="00DE7A1D" w:rsidRPr="00DE7A1D" w:rsidRDefault="00DE7A1D" w:rsidP="00DE7A1D">
      <w:pPr>
        <w:pStyle w:val="65ReferencesTextstylesTextstyles"/>
      </w:pPr>
      <w:r w:rsidRPr="00DE7A1D">
        <w:t>92.</w:t>
      </w:r>
      <w:r w:rsidR="00DE57A5">
        <w:tab/>
      </w:r>
      <w:r w:rsidR="00CE281F" w:rsidRPr="00DE7A1D">
        <w:t>Glick HA, Doshi JA, Sonnad SS, Polsky D. Economic evaluation in clinical trials: OUP Oxford; 2014.</w:t>
      </w:r>
    </w:p>
    <w:p w14:paraId="4F0F22D8" w14:textId="7DFA38D8" w:rsidR="00DE57A5" w:rsidRPr="00DE57A5" w:rsidRDefault="00DE57A5" w:rsidP="00DE7A1D">
      <w:pPr>
        <w:pStyle w:val="65ReferencesTextstylesTextstyles"/>
        <w:rPr>
          <w:highlight w:val="yellow"/>
        </w:rPr>
      </w:pPr>
      <w:commentRangeStart w:id="35"/>
      <w:r w:rsidRPr="00DE57A5">
        <w:rPr>
          <w:highlight w:val="yellow"/>
        </w:rPr>
        <w:t>93.</w:t>
      </w:r>
      <w:r w:rsidRPr="00DE57A5">
        <w:rPr>
          <w:highlight w:val="yellow"/>
        </w:rPr>
        <w:tab/>
        <w:t xml:space="preserve">Faria R, Gomes M, Epstein D, White IR. A guide to handling missing data in cost-effectiveness analysis conducted within randomised controlled trials. </w:t>
      </w:r>
      <w:r w:rsidRPr="00DE57A5">
        <w:rPr>
          <w:i/>
          <w:highlight w:val="yellow"/>
        </w:rPr>
        <w:t>PharmacoEconomics</w:t>
      </w:r>
      <w:r w:rsidRPr="00DE57A5">
        <w:rPr>
          <w:highlight w:val="yellow"/>
        </w:rPr>
        <w:t xml:space="preserve"> 2014;</w:t>
      </w:r>
      <w:r w:rsidRPr="00DE57A5">
        <w:rPr>
          <w:b/>
          <w:highlight w:val="yellow"/>
        </w:rPr>
        <w:t>32</w:t>
      </w:r>
      <w:r w:rsidRPr="00DE57A5">
        <w:rPr>
          <w:highlight w:val="yellow"/>
        </w:rPr>
        <w:t>:</w:t>
      </w:r>
      <w:r w:rsidRPr="00DE57A5">
        <w:rPr>
          <w:color w:val="auto"/>
          <w:highlight w:val="yellow"/>
        </w:rPr>
        <w:t>1157</w:t>
      </w:r>
      <w:r w:rsidRPr="00DE57A5">
        <w:rPr>
          <w:color w:val="00B0F0"/>
          <w:highlight w:val="yellow"/>
        </w:rPr>
        <w:t>–</w:t>
      </w:r>
      <w:r w:rsidRPr="00DE57A5">
        <w:rPr>
          <w:color w:val="auto"/>
          <w:highlight w:val="yellow"/>
        </w:rPr>
        <w:t>70</w:t>
      </w:r>
      <w:r w:rsidRPr="00DE57A5">
        <w:rPr>
          <w:highlight w:val="yellow"/>
        </w:rPr>
        <w:t>. https://doi.org/10.1007/s40273-014-0193-3</w:t>
      </w:r>
      <w:commentRangeEnd w:id="35"/>
      <w:r>
        <w:rPr>
          <w:rStyle w:val="CommentReference"/>
          <w:rFonts w:ascii="Times New Roman" w:hAnsi="Times New Roman" w:cs="Times New Roman"/>
          <w:color w:val="auto"/>
          <w:u w:color="000000"/>
          <w:lang w:val="en-US"/>
        </w:rPr>
        <w:commentReference w:id="35"/>
      </w:r>
    </w:p>
    <w:p w14:paraId="57D8ED19" w14:textId="0363C476" w:rsidR="00DE57A5" w:rsidRPr="00DE57A5" w:rsidRDefault="00DE57A5" w:rsidP="00DE7A1D">
      <w:pPr>
        <w:pStyle w:val="65ReferencesTextstylesTextstyles"/>
        <w:rPr>
          <w:highlight w:val="yellow"/>
        </w:rPr>
      </w:pPr>
      <w:commentRangeStart w:id="36"/>
      <w:r w:rsidRPr="00DE57A5">
        <w:rPr>
          <w:highlight w:val="yellow"/>
        </w:rPr>
        <w:t>94.</w:t>
      </w:r>
      <w:r w:rsidRPr="00DE57A5">
        <w:rPr>
          <w:highlight w:val="yellow"/>
        </w:rPr>
        <w:tab/>
        <w:t xml:space="preserve">Jakobsen JC, Gluud C, Wetterslev J, Winkel P. When and how should multiple imputation be used for handling missing data in randomised clinical trials - a practical guide with flowcharts. </w:t>
      </w:r>
      <w:r w:rsidRPr="00DE57A5">
        <w:rPr>
          <w:i/>
          <w:highlight w:val="yellow"/>
        </w:rPr>
        <w:t>BMC Med Res Methodol</w:t>
      </w:r>
      <w:r w:rsidRPr="00DE57A5">
        <w:rPr>
          <w:highlight w:val="yellow"/>
        </w:rPr>
        <w:t xml:space="preserve"> 2017;</w:t>
      </w:r>
      <w:r w:rsidRPr="00DE57A5">
        <w:rPr>
          <w:b/>
          <w:highlight w:val="yellow"/>
        </w:rPr>
        <w:t>17</w:t>
      </w:r>
      <w:r w:rsidRPr="00DE57A5">
        <w:rPr>
          <w:highlight w:val="yellow"/>
        </w:rPr>
        <w:t>:</w:t>
      </w:r>
      <w:r w:rsidRPr="00DE57A5">
        <w:rPr>
          <w:color w:val="auto"/>
          <w:highlight w:val="yellow"/>
        </w:rPr>
        <w:t>162</w:t>
      </w:r>
      <w:r w:rsidRPr="00DE57A5">
        <w:rPr>
          <w:highlight w:val="yellow"/>
        </w:rPr>
        <w:t>. https://doi.org/10.1186/s12874-017-0442-1</w:t>
      </w:r>
      <w:commentRangeEnd w:id="36"/>
      <w:r>
        <w:rPr>
          <w:rStyle w:val="CommentReference"/>
          <w:rFonts w:ascii="Times New Roman" w:hAnsi="Times New Roman" w:cs="Times New Roman"/>
          <w:color w:val="auto"/>
          <w:u w:color="000000"/>
          <w:lang w:val="en-US"/>
        </w:rPr>
        <w:commentReference w:id="36"/>
      </w:r>
    </w:p>
    <w:p w14:paraId="3BCB719C" w14:textId="6A1BF842" w:rsidR="00DE7A1D" w:rsidRPr="00DE7A1D" w:rsidRDefault="00DE7A1D" w:rsidP="00DE7A1D">
      <w:pPr>
        <w:pStyle w:val="65ReferencesTextstylesTextstyles"/>
      </w:pPr>
      <w:r w:rsidRPr="00DE7A1D">
        <w:t>95.</w:t>
      </w:r>
      <w:r w:rsidR="00DE57A5">
        <w:tab/>
      </w:r>
      <w:r w:rsidR="00CE281F" w:rsidRPr="00DE7A1D">
        <w:t>Little RJ, Rubin DB. Statistical analysis with missing data: John Wiley &amp; Sons; 2019.</w:t>
      </w:r>
    </w:p>
    <w:p w14:paraId="5802B308" w14:textId="25749E70" w:rsidR="00DE57A5" w:rsidRPr="00DE57A5" w:rsidRDefault="00DE57A5" w:rsidP="00DE7A1D">
      <w:pPr>
        <w:pStyle w:val="65ReferencesTextstylesTextstyles"/>
        <w:rPr>
          <w:highlight w:val="yellow"/>
        </w:rPr>
      </w:pPr>
      <w:commentRangeStart w:id="37"/>
      <w:r w:rsidRPr="00DE57A5">
        <w:rPr>
          <w:highlight w:val="yellow"/>
        </w:rPr>
        <w:lastRenderedPageBreak/>
        <w:t>96.</w:t>
      </w:r>
      <w:r w:rsidRPr="00DE57A5">
        <w:rPr>
          <w:highlight w:val="yellow"/>
        </w:rPr>
        <w:tab/>
        <w:t xml:space="preserve">White IR, Royston P, Wood AM. Multiple imputation using chained equations: Issues and guidance for practice. </w:t>
      </w:r>
      <w:r w:rsidRPr="00DE57A5">
        <w:rPr>
          <w:i/>
          <w:highlight w:val="yellow"/>
        </w:rPr>
        <w:t>Stat Med</w:t>
      </w:r>
      <w:r w:rsidRPr="00DE57A5">
        <w:rPr>
          <w:highlight w:val="yellow"/>
        </w:rPr>
        <w:t xml:space="preserve"> 2011;</w:t>
      </w:r>
      <w:r w:rsidRPr="00DE57A5">
        <w:rPr>
          <w:b/>
          <w:highlight w:val="yellow"/>
        </w:rPr>
        <w:t>30</w:t>
      </w:r>
      <w:r w:rsidRPr="00DE57A5">
        <w:rPr>
          <w:highlight w:val="yellow"/>
        </w:rPr>
        <w:t>:</w:t>
      </w:r>
      <w:r w:rsidRPr="00DE57A5">
        <w:rPr>
          <w:color w:val="auto"/>
          <w:highlight w:val="yellow"/>
        </w:rPr>
        <w:t>377</w:t>
      </w:r>
      <w:r w:rsidRPr="00DE57A5">
        <w:rPr>
          <w:color w:val="00B0F0"/>
          <w:highlight w:val="yellow"/>
        </w:rPr>
        <w:t>–</w:t>
      </w:r>
      <w:r w:rsidRPr="00DE57A5">
        <w:rPr>
          <w:color w:val="auto"/>
          <w:highlight w:val="yellow"/>
        </w:rPr>
        <w:t>99</w:t>
      </w:r>
      <w:r w:rsidRPr="00DE57A5">
        <w:rPr>
          <w:highlight w:val="yellow"/>
        </w:rPr>
        <w:t>. https://doi.org/10.1002/sim.4067</w:t>
      </w:r>
      <w:commentRangeEnd w:id="37"/>
      <w:r>
        <w:rPr>
          <w:rStyle w:val="CommentReference"/>
          <w:rFonts w:ascii="Times New Roman" w:hAnsi="Times New Roman" w:cs="Times New Roman"/>
          <w:color w:val="auto"/>
          <w:u w:color="000000"/>
          <w:lang w:val="en-US"/>
        </w:rPr>
        <w:commentReference w:id="37"/>
      </w:r>
    </w:p>
    <w:p w14:paraId="038468A2" w14:textId="05EEF1AD" w:rsidR="00DE57A5" w:rsidRPr="00DE57A5" w:rsidRDefault="00DE57A5" w:rsidP="00DE7A1D">
      <w:pPr>
        <w:pStyle w:val="65ReferencesTextstylesTextstyles"/>
        <w:rPr>
          <w:highlight w:val="yellow"/>
        </w:rPr>
      </w:pPr>
      <w:commentRangeStart w:id="38"/>
      <w:r w:rsidRPr="00DE57A5">
        <w:rPr>
          <w:highlight w:val="yellow"/>
        </w:rPr>
        <w:t>97.</w:t>
      </w:r>
      <w:r w:rsidRPr="00DE57A5">
        <w:rPr>
          <w:highlight w:val="yellow"/>
        </w:rPr>
        <w:tab/>
        <w:t xml:space="preserve">Husereau D, Drummond M, Petrou S, Carswell C, Moher D, Greenberg D, </w:t>
      </w:r>
      <w:r w:rsidRPr="00DE57A5">
        <w:rPr>
          <w:i/>
          <w:highlight w:val="yellow"/>
        </w:rPr>
        <w:t>et al</w:t>
      </w:r>
      <w:r w:rsidRPr="00DE57A5">
        <w:rPr>
          <w:highlight w:val="yellow"/>
        </w:rPr>
        <w:t xml:space="preserve">. Consolidated Health Economic Evaluation Reporting Standards (CHEERS) statement. </w:t>
      </w:r>
      <w:r w:rsidRPr="00DE57A5">
        <w:rPr>
          <w:i/>
          <w:highlight w:val="yellow"/>
        </w:rPr>
        <w:t>Int J Technol Assess Health Care</w:t>
      </w:r>
      <w:r w:rsidRPr="00DE57A5">
        <w:rPr>
          <w:highlight w:val="yellow"/>
        </w:rPr>
        <w:t xml:space="preserve"> 2013;</w:t>
      </w:r>
      <w:r w:rsidRPr="00DE57A5">
        <w:rPr>
          <w:b/>
          <w:highlight w:val="yellow"/>
        </w:rPr>
        <w:t>29</w:t>
      </w:r>
      <w:r w:rsidRPr="00DE57A5">
        <w:rPr>
          <w:highlight w:val="yellow"/>
        </w:rPr>
        <w:t>:</w:t>
      </w:r>
      <w:r w:rsidRPr="00DE57A5">
        <w:rPr>
          <w:color w:val="auto"/>
          <w:highlight w:val="yellow"/>
        </w:rPr>
        <w:t>117</w:t>
      </w:r>
      <w:r w:rsidRPr="00DE57A5">
        <w:rPr>
          <w:color w:val="00B0F0"/>
          <w:highlight w:val="yellow"/>
        </w:rPr>
        <w:t>–</w:t>
      </w:r>
      <w:r w:rsidRPr="00DE57A5">
        <w:rPr>
          <w:color w:val="auto"/>
          <w:highlight w:val="yellow"/>
        </w:rPr>
        <w:t>22</w:t>
      </w:r>
      <w:r w:rsidRPr="00DE57A5">
        <w:rPr>
          <w:highlight w:val="yellow"/>
        </w:rPr>
        <w:t>. https://doi.org/10.1017/S0266462313000160</w:t>
      </w:r>
      <w:commentRangeEnd w:id="38"/>
      <w:r>
        <w:rPr>
          <w:rStyle w:val="CommentReference"/>
          <w:rFonts w:ascii="Times New Roman" w:hAnsi="Times New Roman" w:cs="Times New Roman"/>
          <w:color w:val="auto"/>
          <w:u w:color="000000"/>
          <w:lang w:val="en-US"/>
        </w:rPr>
        <w:commentReference w:id="38"/>
      </w:r>
    </w:p>
    <w:p w14:paraId="450D8C18" w14:textId="3ABA3C29" w:rsidR="00DE57A5" w:rsidRPr="00DE57A5" w:rsidRDefault="00DE57A5" w:rsidP="00DE7A1D">
      <w:pPr>
        <w:pStyle w:val="65ReferencesTextstylesTextstyles"/>
        <w:rPr>
          <w:highlight w:val="yellow"/>
        </w:rPr>
      </w:pPr>
      <w:commentRangeStart w:id="39"/>
      <w:r w:rsidRPr="00DE57A5">
        <w:rPr>
          <w:highlight w:val="yellow"/>
        </w:rPr>
        <w:t>98.</w:t>
      </w:r>
      <w:r w:rsidRPr="00DE57A5">
        <w:rPr>
          <w:highlight w:val="yellow"/>
        </w:rPr>
        <w:tab/>
        <w:t xml:space="preserve">Briggs AH. Statistical approaches to handling uncertainty in health economic evaluation. </w:t>
      </w:r>
      <w:r w:rsidRPr="00DE57A5">
        <w:rPr>
          <w:i/>
          <w:highlight w:val="yellow"/>
        </w:rPr>
        <w:t>Eur J Gastroenterol Hepatol</w:t>
      </w:r>
      <w:r w:rsidRPr="00DE57A5">
        <w:rPr>
          <w:highlight w:val="yellow"/>
        </w:rPr>
        <w:t xml:space="preserve"> 2004;</w:t>
      </w:r>
      <w:r w:rsidRPr="00DE57A5">
        <w:rPr>
          <w:b/>
          <w:highlight w:val="yellow"/>
        </w:rPr>
        <w:t>16</w:t>
      </w:r>
      <w:r w:rsidRPr="00DE57A5">
        <w:rPr>
          <w:highlight w:val="yellow"/>
        </w:rPr>
        <w:t>:</w:t>
      </w:r>
      <w:r w:rsidRPr="00DE57A5">
        <w:rPr>
          <w:color w:val="auto"/>
          <w:highlight w:val="yellow"/>
        </w:rPr>
        <w:t>551</w:t>
      </w:r>
      <w:r w:rsidRPr="00DE57A5">
        <w:rPr>
          <w:color w:val="00B0F0"/>
          <w:highlight w:val="yellow"/>
        </w:rPr>
        <w:t>–</w:t>
      </w:r>
      <w:r w:rsidRPr="00DE57A5">
        <w:rPr>
          <w:color w:val="auto"/>
          <w:highlight w:val="yellow"/>
        </w:rPr>
        <w:t>61</w:t>
      </w:r>
      <w:r w:rsidRPr="00DE57A5">
        <w:rPr>
          <w:highlight w:val="yellow"/>
        </w:rPr>
        <w:t>.</w:t>
      </w:r>
      <w:commentRangeEnd w:id="39"/>
      <w:r>
        <w:rPr>
          <w:rStyle w:val="CommentReference"/>
          <w:rFonts w:ascii="Times New Roman" w:hAnsi="Times New Roman" w:cs="Times New Roman"/>
          <w:color w:val="auto"/>
          <w:u w:color="000000"/>
          <w:lang w:val="en-US"/>
        </w:rPr>
        <w:commentReference w:id="39"/>
      </w:r>
    </w:p>
    <w:p w14:paraId="707330C4" w14:textId="566FA0B3" w:rsidR="00DE7A1D" w:rsidRPr="00DE7A1D" w:rsidRDefault="00DE7A1D" w:rsidP="00DE7A1D">
      <w:pPr>
        <w:pStyle w:val="65ReferencesTextstylesTextstyles"/>
      </w:pPr>
      <w:r w:rsidRPr="00DE7A1D">
        <w:t>99.</w:t>
      </w:r>
      <w:r w:rsidR="00DE57A5">
        <w:tab/>
      </w:r>
      <w:r w:rsidR="00CE281F" w:rsidRPr="00DE7A1D">
        <w:t>Crawley H, Dodds R. The UK Healthy Start scheme. What happened? What next? London: First Steps Nutrition Trust; 2018.</w:t>
      </w:r>
    </w:p>
    <w:p w14:paraId="66E92CA2" w14:textId="064B2B23" w:rsidR="00DE7A1D" w:rsidRPr="00DE7A1D" w:rsidRDefault="00DE7A1D" w:rsidP="00DE7A1D">
      <w:pPr>
        <w:pStyle w:val="65ReferencesTextstylesTextstyles"/>
      </w:pPr>
      <w:r w:rsidRPr="00DE7A1D">
        <w:t>100.</w:t>
      </w:r>
      <w:r w:rsidR="00DE57A5">
        <w:tab/>
      </w:r>
      <w:r w:rsidR="00CE281F" w:rsidRPr="00DE7A1D">
        <w:t>NHS GhtbfamHS. What you</w:t>
      </w:r>
      <w:r w:rsidR="00DE57A5" w:rsidRPr="00DE57A5">
        <w:t>’</w:t>
      </w:r>
      <w:r w:rsidR="00CE281F" w:rsidRPr="00DE7A1D">
        <w:t>ll get and how to shop  [Available from: https://www.healthystart.nhs.uk/what-youll-get-and-how-to-shop/.</w:t>
      </w:r>
    </w:p>
    <w:p w14:paraId="42271623" w14:textId="21CF9960" w:rsidR="00DE7A1D" w:rsidRPr="00DE7A1D" w:rsidRDefault="00DE7A1D" w:rsidP="00DE7A1D">
      <w:pPr>
        <w:pStyle w:val="65ReferencesTextstylesTextstyles"/>
      </w:pPr>
      <w:r w:rsidRPr="00DE7A1D">
        <w:t>101.</w:t>
      </w:r>
      <w:r w:rsidR="00DE57A5">
        <w:tab/>
      </w:r>
      <w:r w:rsidR="00CE281F" w:rsidRPr="00DE7A1D">
        <w:t>US Food and Nutrition Service. Special Supplemental Nutrition Program for Women, Infants, and Children (WIC)  [Available from: https://www.fns.usda.gov/wic.</w:t>
      </w:r>
    </w:p>
    <w:p w14:paraId="3F74B035" w14:textId="15A2C138" w:rsidR="00DE57A5" w:rsidRPr="00DE57A5" w:rsidRDefault="00DE57A5" w:rsidP="00DE7A1D">
      <w:pPr>
        <w:pStyle w:val="65ReferencesTextstylesTextstyles"/>
        <w:rPr>
          <w:highlight w:val="yellow"/>
        </w:rPr>
      </w:pPr>
      <w:commentRangeStart w:id="40"/>
      <w:r w:rsidRPr="00DE57A5">
        <w:rPr>
          <w:highlight w:val="yellow"/>
        </w:rPr>
        <w:t>102.</w:t>
      </w:r>
      <w:r w:rsidRPr="00DE57A5">
        <w:rPr>
          <w:highlight w:val="yellow"/>
        </w:rPr>
        <w:tab/>
        <w:t xml:space="preserve">Sonchak L. The Impact of WIC on Birth Outcomes: New Evidence from South Carolina. </w:t>
      </w:r>
      <w:r w:rsidRPr="00DE57A5">
        <w:rPr>
          <w:i/>
          <w:highlight w:val="yellow"/>
        </w:rPr>
        <w:t>Matern Child Health J</w:t>
      </w:r>
      <w:r w:rsidRPr="00DE57A5">
        <w:rPr>
          <w:highlight w:val="yellow"/>
        </w:rPr>
        <w:t xml:space="preserve"> 2016;</w:t>
      </w:r>
      <w:r w:rsidRPr="00DE57A5">
        <w:rPr>
          <w:b/>
          <w:highlight w:val="yellow"/>
        </w:rPr>
        <w:t>20</w:t>
      </w:r>
      <w:r w:rsidRPr="00DE57A5">
        <w:rPr>
          <w:highlight w:val="yellow"/>
        </w:rPr>
        <w:t>:</w:t>
      </w:r>
      <w:r w:rsidRPr="00DE57A5">
        <w:rPr>
          <w:color w:val="auto"/>
          <w:highlight w:val="yellow"/>
        </w:rPr>
        <w:t>1518</w:t>
      </w:r>
      <w:r w:rsidRPr="00DE57A5">
        <w:rPr>
          <w:color w:val="00B0F0"/>
          <w:highlight w:val="yellow"/>
        </w:rPr>
        <w:t>–</w:t>
      </w:r>
      <w:r w:rsidRPr="00DE57A5">
        <w:rPr>
          <w:color w:val="auto"/>
          <w:highlight w:val="yellow"/>
        </w:rPr>
        <w:t>25</w:t>
      </w:r>
      <w:r w:rsidRPr="00DE57A5">
        <w:rPr>
          <w:highlight w:val="yellow"/>
        </w:rPr>
        <w:t>. https://doi.org/10.1007/s10995-016-1951-y</w:t>
      </w:r>
      <w:commentRangeEnd w:id="40"/>
      <w:r>
        <w:rPr>
          <w:rStyle w:val="CommentReference"/>
          <w:rFonts w:ascii="Times New Roman" w:hAnsi="Times New Roman" w:cs="Times New Roman"/>
          <w:color w:val="auto"/>
          <w:u w:color="000000"/>
          <w:lang w:val="en-US"/>
        </w:rPr>
        <w:commentReference w:id="40"/>
      </w:r>
    </w:p>
    <w:p w14:paraId="111CCB65" w14:textId="1FDB5065" w:rsidR="00DE57A5" w:rsidRPr="00DE57A5" w:rsidRDefault="00DE57A5" w:rsidP="00DE7A1D">
      <w:pPr>
        <w:pStyle w:val="65ReferencesTextstylesTextstyles"/>
        <w:rPr>
          <w:highlight w:val="yellow"/>
        </w:rPr>
      </w:pPr>
      <w:commentRangeStart w:id="41"/>
      <w:r w:rsidRPr="00DE57A5">
        <w:rPr>
          <w:highlight w:val="yellow"/>
        </w:rPr>
        <w:t>103.</w:t>
      </w:r>
      <w:r w:rsidRPr="00DE57A5">
        <w:rPr>
          <w:highlight w:val="yellow"/>
        </w:rPr>
        <w:tab/>
        <w:t xml:space="preserve">Austin PC. An Introduction to Propensity Score Methods for Reducing the Effects of Confounding in Observational Studies. </w:t>
      </w:r>
      <w:r w:rsidRPr="00DE57A5">
        <w:rPr>
          <w:i/>
          <w:highlight w:val="yellow"/>
        </w:rPr>
        <w:t>Multivariate Behav Res</w:t>
      </w:r>
      <w:r w:rsidRPr="00DE57A5">
        <w:rPr>
          <w:highlight w:val="yellow"/>
        </w:rPr>
        <w:t xml:space="preserve"> 2011;</w:t>
      </w:r>
      <w:r w:rsidRPr="00DE57A5">
        <w:rPr>
          <w:b/>
          <w:highlight w:val="yellow"/>
        </w:rPr>
        <w:t>46</w:t>
      </w:r>
      <w:r w:rsidRPr="00DE57A5">
        <w:rPr>
          <w:highlight w:val="yellow"/>
        </w:rPr>
        <w:t>:</w:t>
      </w:r>
      <w:r w:rsidRPr="00DE57A5">
        <w:rPr>
          <w:color w:val="auto"/>
          <w:highlight w:val="yellow"/>
        </w:rPr>
        <w:t>399</w:t>
      </w:r>
      <w:r w:rsidRPr="00DE57A5">
        <w:rPr>
          <w:color w:val="00B0F0"/>
          <w:highlight w:val="yellow"/>
        </w:rPr>
        <w:t>–</w:t>
      </w:r>
      <w:r w:rsidRPr="00DE57A5">
        <w:rPr>
          <w:color w:val="auto"/>
          <w:highlight w:val="yellow"/>
        </w:rPr>
        <w:t>424</w:t>
      </w:r>
      <w:r w:rsidRPr="00DE57A5">
        <w:rPr>
          <w:highlight w:val="yellow"/>
        </w:rPr>
        <w:t>. https://doi.org/10.1080/00273171.2011.568786</w:t>
      </w:r>
      <w:commentRangeEnd w:id="41"/>
      <w:r>
        <w:rPr>
          <w:rStyle w:val="CommentReference"/>
          <w:rFonts w:ascii="Times New Roman" w:hAnsi="Times New Roman" w:cs="Times New Roman"/>
          <w:color w:val="auto"/>
          <w:u w:color="000000"/>
          <w:lang w:val="en-US"/>
        </w:rPr>
        <w:commentReference w:id="41"/>
      </w:r>
    </w:p>
    <w:p w14:paraId="661F033E" w14:textId="3BA7FE5F" w:rsidR="00DE57A5" w:rsidRPr="00DE57A5" w:rsidRDefault="00DE57A5" w:rsidP="00DE7A1D">
      <w:pPr>
        <w:pStyle w:val="65ReferencesTextstylesTextstyles"/>
        <w:rPr>
          <w:highlight w:val="yellow"/>
        </w:rPr>
      </w:pPr>
      <w:commentRangeStart w:id="42"/>
      <w:r w:rsidRPr="00DE57A5">
        <w:rPr>
          <w:highlight w:val="yellow"/>
        </w:rPr>
        <w:t>104.</w:t>
      </w:r>
      <w:r w:rsidRPr="00DE57A5">
        <w:rPr>
          <w:highlight w:val="yellow"/>
        </w:rPr>
        <w:tab/>
        <w:t xml:space="preserve">Rubin DB. On principles for modeling propensity scores in medical research. </w:t>
      </w:r>
      <w:r w:rsidRPr="00DE57A5">
        <w:rPr>
          <w:i/>
          <w:highlight w:val="yellow"/>
        </w:rPr>
        <w:t>Pharmacoepidemiol Drug Saf</w:t>
      </w:r>
      <w:r w:rsidRPr="00DE57A5">
        <w:rPr>
          <w:highlight w:val="yellow"/>
        </w:rPr>
        <w:t xml:space="preserve"> 2004;</w:t>
      </w:r>
      <w:r w:rsidRPr="00DE57A5">
        <w:rPr>
          <w:b/>
          <w:highlight w:val="yellow"/>
        </w:rPr>
        <w:t>13</w:t>
      </w:r>
      <w:r w:rsidRPr="00DE57A5">
        <w:rPr>
          <w:highlight w:val="yellow"/>
        </w:rPr>
        <w:t>:</w:t>
      </w:r>
      <w:r w:rsidRPr="00DE57A5">
        <w:rPr>
          <w:color w:val="auto"/>
          <w:highlight w:val="yellow"/>
        </w:rPr>
        <w:t>855</w:t>
      </w:r>
      <w:r w:rsidRPr="00DE57A5">
        <w:rPr>
          <w:color w:val="00B0F0"/>
          <w:highlight w:val="yellow"/>
        </w:rPr>
        <w:t>–</w:t>
      </w:r>
      <w:r w:rsidRPr="00DE57A5">
        <w:rPr>
          <w:color w:val="auto"/>
          <w:highlight w:val="yellow"/>
        </w:rPr>
        <w:t>7</w:t>
      </w:r>
      <w:r w:rsidRPr="00DE57A5">
        <w:rPr>
          <w:highlight w:val="yellow"/>
        </w:rPr>
        <w:t>. https://doi.org/10.1002/pds.968</w:t>
      </w:r>
      <w:commentRangeEnd w:id="42"/>
      <w:r>
        <w:rPr>
          <w:rStyle w:val="CommentReference"/>
          <w:rFonts w:ascii="Times New Roman" w:hAnsi="Times New Roman" w:cs="Times New Roman"/>
          <w:color w:val="auto"/>
          <w:u w:color="000000"/>
          <w:lang w:val="en-US"/>
        </w:rPr>
        <w:commentReference w:id="42"/>
      </w:r>
    </w:p>
    <w:p w14:paraId="4647C948" w14:textId="74DDD72D" w:rsidR="00DE7A1D" w:rsidRPr="00DE7A1D" w:rsidRDefault="00DE7A1D" w:rsidP="00DE7A1D">
      <w:pPr>
        <w:pStyle w:val="65ReferencesTextstylesTextstyles"/>
      </w:pPr>
      <w:r w:rsidRPr="00DE7A1D">
        <w:t>105.</w:t>
      </w:r>
      <w:r w:rsidR="00DE57A5">
        <w:tab/>
      </w:r>
      <w:r w:rsidR="00CE281F" w:rsidRPr="00DE7A1D">
        <w:t xml:space="preserve">Fischbacher CM. Identifying </w:t>
      </w:r>
      <w:r w:rsidR="00DE57A5" w:rsidRPr="00DE57A5">
        <w:t>‘</w:t>
      </w:r>
      <w:r w:rsidR="00CE281F" w:rsidRPr="00DE7A1D">
        <w:t>deprived individuals</w:t>
      </w:r>
      <w:r w:rsidR="00DE57A5" w:rsidRPr="00DE57A5">
        <w:t>’</w:t>
      </w:r>
      <w:r w:rsidR="00CE281F" w:rsidRPr="00DE7A1D">
        <w:t>: are there better alternatives to the Scottish Index of Multiple Deprivation (SIMD) for socioeconomic targeting in individually based programmes addressing health inequalities in Scotland? Edinburgh: Scottish Public Health Organisation; 2014.</w:t>
      </w:r>
    </w:p>
    <w:p w14:paraId="1B88FB9E" w14:textId="524B2951" w:rsidR="00DE7A1D" w:rsidRPr="00DE7A1D" w:rsidRDefault="00DE7A1D" w:rsidP="00DE7A1D">
      <w:pPr>
        <w:pStyle w:val="65ReferencesTextstylesTextstyles"/>
      </w:pPr>
      <w:r w:rsidRPr="00DE7A1D">
        <w:t>106.</w:t>
      </w:r>
      <w:r w:rsidR="00DE57A5">
        <w:tab/>
      </w:r>
      <w:r w:rsidR="00CE281F" w:rsidRPr="00DE7A1D">
        <w:t>Griffith R, Scholder SvHK, Smith S. Getting a Healthy Start?: Nudge Versus Economic Incentives: Centre for Market and Public Organisation; 2014.</w:t>
      </w:r>
    </w:p>
    <w:p w14:paraId="5BA65C0A" w14:textId="36D64786" w:rsidR="00DE57A5" w:rsidRPr="00DE57A5" w:rsidRDefault="00DE57A5" w:rsidP="00DE7A1D">
      <w:pPr>
        <w:pStyle w:val="65ReferencesTextstylesTextstyles"/>
        <w:rPr>
          <w:highlight w:val="yellow"/>
        </w:rPr>
      </w:pPr>
      <w:commentRangeStart w:id="43"/>
      <w:r w:rsidRPr="00DE57A5">
        <w:rPr>
          <w:highlight w:val="yellow"/>
        </w:rPr>
        <w:t>107.</w:t>
      </w:r>
      <w:r w:rsidRPr="00DE57A5">
        <w:rPr>
          <w:highlight w:val="yellow"/>
        </w:rPr>
        <w:tab/>
        <w:t xml:space="preserve">Duijts L, Ramadhani MK, Moll HA. Breastfeeding protects against infectious diseases during infancy in industrialized countries. A systematic review. </w:t>
      </w:r>
      <w:r w:rsidRPr="00DE57A5">
        <w:rPr>
          <w:i/>
          <w:highlight w:val="yellow"/>
        </w:rPr>
        <w:t>Matern Child Nutr</w:t>
      </w:r>
      <w:r w:rsidRPr="00DE57A5">
        <w:rPr>
          <w:highlight w:val="yellow"/>
        </w:rPr>
        <w:t xml:space="preserve"> 2009;</w:t>
      </w:r>
      <w:r w:rsidRPr="00DE57A5">
        <w:rPr>
          <w:b/>
          <w:highlight w:val="yellow"/>
        </w:rPr>
        <w:t>5</w:t>
      </w:r>
      <w:r w:rsidRPr="00DE57A5">
        <w:rPr>
          <w:highlight w:val="yellow"/>
        </w:rPr>
        <w:t>:</w:t>
      </w:r>
      <w:r w:rsidRPr="00DE57A5">
        <w:rPr>
          <w:color w:val="auto"/>
          <w:highlight w:val="yellow"/>
        </w:rPr>
        <w:t>199</w:t>
      </w:r>
      <w:r w:rsidRPr="00DE57A5">
        <w:rPr>
          <w:color w:val="00B0F0"/>
          <w:highlight w:val="yellow"/>
        </w:rPr>
        <w:t>–</w:t>
      </w:r>
      <w:r w:rsidRPr="00DE57A5">
        <w:rPr>
          <w:color w:val="auto"/>
          <w:highlight w:val="yellow"/>
        </w:rPr>
        <w:t>210</w:t>
      </w:r>
      <w:r w:rsidRPr="00DE57A5">
        <w:rPr>
          <w:highlight w:val="yellow"/>
        </w:rPr>
        <w:t>. https://doi.org/10.1111/j.1740-8709.2008.00176.x</w:t>
      </w:r>
      <w:commentRangeEnd w:id="43"/>
      <w:r>
        <w:rPr>
          <w:rStyle w:val="CommentReference"/>
          <w:rFonts w:ascii="Times New Roman" w:hAnsi="Times New Roman" w:cs="Times New Roman"/>
          <w:color w:val="auto"/>
          <w:u w:color="000000"/>
          <w:lang w:val="en-US"/>
        </w:rPr>
        <w:commentReference w:id="43"/>
      </w:r>
    </w:p>
    <w:p w14:paraId="013232F9" w14:textId="55829E52" w:rsidR="00DE57A5" w:rsidRPr="00DE57A5" w:rsidRDefault="00DE57A5" w:rsidP="00DE7A1D">
      <w:pPr>
        <w:pStyle w:val="65ReferencesTextstylesTextstyles"/>
        <w:rPr>
          <w:highlight w:val="yellow"/>
        </w:rPr>
      </w:pPr>
      <w:commentRangeStart w:id="44"/>
      <w:r w:rsidRPr="00DE57A5">
        <w:rPr>
          <w:highlight w:val="yellow"/>
        </w:rPr>
        <w:t>108.</w:t>
      </w:r>
      <w:r w:rsidRPr="00DE57A5">
        <w:rPr>
          <w:highlight w:val="yellow"/>
        </w:rPr>
        <w:tab/>
        <w:t xml:space="preserve">Ajetunmobi OM, Whyte B, Chalmers J, Tappin DM, Wolfson L, Fleming M, </w:t>
      </w:r>
      <w:r w:rsidRPr="00DE57A5">
        <w:rPr>
          <w:i/>
          <w:highlight w:val="yellow"/>
        </w:rPr>
        <w:t>et al</w:t>
      </w:r>
      <w:r w:rsidRPr="00DE57A5">
        <w:rPr>
          <w:highlight w:val="yellow"/>
        </w:rPr>
        <w:t xml:space="preserve">. Breastfeeding is associated with reduced childhood hospitalization: evidence from a Scottish Birth Cohort (1997-2009). </w:t>
      </w:r>
      <w:r w:rsidRPr="00DE57A5">
        <w:rPr>
          <w:i/>
          <w:highlight w:val="yellow"/>
        </w:rPr>
        <w:t>J Pediatr</w:t>
      </w:r>
      <w:r w:rsidRPr="00DE57A5">
        <w:rPr>
          <w:highlight w:val="yellow"/>
        </w:rPr>
        <w:t xml:space="preserve"> 2015;</w:t>
      </w:r>
      <w:r w:rsidRPr="00DE57A5">
        <w:rPr>
          <w:b/>
          <w:highlight w:val="yellow"/>
        </w:rPr>
        <w:t>166</w:t>
      </w:r>
      <w:r w:rsidRPr="00DE57A5">
        <w:rPr>
          <w:highlight w:val="yellow"/>
        </w:rPr>
        <w:t>:</w:t>
      </w:r>
      <w:r w:rsidRPr="00DE57A5">
        <w:rPr>
          <w:color w:val="auto"/>
          <w:highlight w:val="yellow"/>
        </w:rPr>
        <w:t>620</w:t>
      </w:r>
      <w:r w:rsidRPr="00DE57A5">
        <w:rPr>
          <w:color w:val="00B0F0"/>
          <w:highlight w:val="yellow"/>
        </w:rPr>
        <w:t>–</w:t>
      </w:r>
      <w:r w:rsidRPr="00DE57A5">
        <w:rPr>
          <w:color w:val="auto"/>
          <w:highlight w:val="yellow"/>
        </w:rPr>
        <w:t>5</w:t>
      </w:r>
      <w:r w:rsidRPr="00DE57A5">
        <w:rPr>
          <w:color w:val="00B0F0"/>
          <w:highlight w:val="yellow"/>
        </w:rPr>
        <w:t>.</w:t>
      </w:r>
      <w:r w:rsidRPr="00DE57A5">
        <w:rPr>
          <w:color w:val="auto"/>
          <w:highlight w:val="yellow"/>
        </w:rPr>
        <w:t>e4</w:t>
      </w:r>
      <w:r w:rsidRPr="00DE57A5">
        <w:rPr>
          <w:highlight w:val="yellow"/>
        </w:rPr>
        <w:t>. https://doi.org/10.1016/j.jpeds.2014.11.013</w:t>
      </w:r>
      <w:commentRangeEnd w:id="44"/>
      <w:r>
        <w:rPr>
          <w:rStyle w:val="CommentReference"/>
          <w:rFonts w:ascii="Times New Roman" w:hAnsi="Times New Roman" w:cs="Times New Roman"/>
          <w:color w:val="auto"/>
          <w:u w:color="000000"/>
          <w:lang w:val="en-US"/>
        </w:rPr>
        <w:commentReference w:id="44"/>
      </w:r>
    </w:p>
    <w:p w14:paraId="68D00BA6" w14:textId="0F0083F0" w:rsidR="00DE57A5" w:rsidRPr="00DE57A5" w:rsidRDefault="00DE57A5" w:rsidP="00DE7A1D">
      <w:pPr>
        <w:pStyle w:val="65ReferencesTextstylesTextstyles"/>
        <w:rPr>
          <w:highlight w:val="yellow"/>
        </w:rPr>
      </w:pPr>
      <w:commentRangeStart w:id="45"/>
      <w:r w:rsidRPr="00DE57A5">
        <w:rPr>
          <w:highlight w:val="yellow"/>
        </w:rPr>
        <w:t>109.</w:t>
      </w:r>
      <w:r w:rsidRPr="00DE57A5">
        <w:rPr>
          <w:highlight w:val="yellow"/>
        </w:rPr>
        <w:tab/>
        <w:t xml:space="preserve">Basu A, Manca A. Regression estimators for generic health-related quality of life and quality-adjusted life years. </w:t>
      </w:r>
      <w:r w:rsidRPr="00DE57A5">
        <w:rPr>
          <w:i/>
          <w:highlight w:val="yellow"/>
        </w:rPr>
        <w:t>Med Decis Making</w:t>
      </w:r>
      <w:r w:rsidRPr="00DE57A5">
        <w:rPr>
          <w:highlight w:val="yellow"/>
        </w:rPr>
        <w:t xml:space="preserve"> 2012;</w:t>
      </w:r>
      <w:r w:rsidRPr="00DE57A5">
        <w:rPr>
          <w:b/>
          <w:highlight w:val="yellow"/>
        </w:rPr>
        <w:t>32</w:t>
      </w:r>
      <w:r w:rsidRPr="00DE57A5">
        <w:rPr>
          <w:highlight w:val="yellow"/>
        </w:rPr>
        <w:t>:</w:t>
      </w:r>
      <w:r w:rsidRPr="00DE57A5">
        <w:rPr>
          <w:color w:val="auto"/>
          <w:highlight w:val="yellow"/>
        </w:rPr>
        <w:t>56</w:t>
      </w:r>
      <w:r w:rsidRPr="00DE57A5">
        <w:rPr>
          <w:color w:val="00B0F0"/>
          <w:highlight w:val="yellow"/>
        </w:rPr>
        <w:t>–</w:t>
      </w:r>
      <w:r w:rsidRPr="00DE57A5">
        <w:rPr>
          <w:color w:val="auto"/>
          <w:highlight w:val="yellow"/>
        </w:rPr>
        <w:t>69</w:t>
      </w:r>
      <w:r w:rsidRPr="00DE57A5">
        <w:rPr>
          <w:highlight w:val="yellow"/>
        </w:rPr>
        <w:t>. https://doi.org/10.1177/0272989X11416988</w:t>
      </w:r>
      <w:commentRangeEnd w:id="45"/>
      <w:r>
        <w:rPr>
          <w:rStyle w:val="CommentReference"/>
          <w:rFonts w:ascii="Times New Roman" w:hAnsi="Times New Roman" w:cs="Times New Roman"/>
          <w:color w:val="auto"/>
          <w:u w:color="000000"/>
          <w:lang w:val="en-US"/>
        </w:rPr>
        <w:commentReference w:id="45"/>
      </w:r>
    </w:p>
    <w:p w14:paraId="5C63D472" w14:textId="355A6B38" w:rsidR="00DE7A1D" w:rsidRPr="00DE7A1D" w:rsidRDefault="00DE7A1D" w:rsidP="00DE7A1D">
      <w:pPr>
        <w:pStyle w:val="65ReferencesTextstylesTextstyles"/>
      </w:pPr>
    </w:p>
    <w:p w14:paraId="7CDA0D40" w14:textId="77777777" w:rsidR="00DE7A1D" w:rsidRPr="00DE7A1D" w:rsidRDefault="00DE7A1D" w:rsidP="00DE7A1D">
      <w:pPr>
        <w:pStyle w:val="65ReferencesTextstylesTextstyles"/>
      </w:pPr>
    </w:p>
    <w:p w14:paraId="5CCEB994" w14:textId="77777777" w:rsidR="00C36EA2" w:rsidRPr="00DE7A1D" w:rsidRDefault="00C36EA2" w:rsidP="00DE7A1D">
      <w:pPr>
        <w:pStyle w:val="65ReferencesTextstylesTextstyles"/>
      </w:pPr>
    </w:p>
    <w:sectPr w:rsidR="00C36EA2" w:rsidRPr="00DE7A1D" w:rsidSect="00996B5A">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rman" w:date="2022-06-17T10:07:00Z" w:initials="AB">
    <w:p w14:paraId="57291686" w14:textId="77777777" w:rsidR="00DE7A1D" w:rsidRDefault="00DE7A1D">
      <w:pPr>
        <w:pStyle w:val="CommentText"/>
      </w:pPr>
      <w:r>
        <w:rPr>
          <w:rStyle w:val="CommentReference"/>
        </w:rPr>
        <w:annotationRef/>
      </w:r>
      <w:r>
        <w:t>This was originally:</w:t>
      </w:r>
    </w:p>
    <w:p w14:paraId="09726A67" w14:textId="46D6582E" w:rsidR="00DE7A1D" w:rsidRDefault="00DE7A1D">
      <w:pPr>
        <w:pStyle w:val="CommentText"/>
      </w:pPr>
      <w:r>
        <w:t>1.</w:t>
      </w:r>
      <w:r w:rsidR="00DE57A5" w:rsidRPr="00DE57A5">
        <w:tab/>
      </w:r>
      <w:r>
        <w:t>Ben-Shlomo Y, Kuh D. A life course approach to chronic disease epidemiology: conceptual models, empirical challenges and interdisciplinary perspectives. International Journal of Epidemiology. 2002;31(2):285-93.</w:t>
      </w:r>
    </w:p>
    <w:p w14:paraId="35E361B7" w14:textId="5E51F6B5" w:rsidR="00DE7A1D" w:rsidRDefault="00DE7A1D">
      <w:pPr>
        <w:pStyle w:val="CommentText"/>
      </w:pPr>
    </w:p>
  </w:comment>
  <w:comment w:id="1" w:author="Norman" w:date="2022-06-17T10:07:00Z" w:initials="AB">
    <w:p w14:paraId="17C96A47" w14:textId="77777777" w:rsidR="00DE7A1D" w:rsidRDefault="00DE7A1D">
      <w:pPr>
        <w:pStyle w:val="CommentText"/>
      </w:pPr>
      <w:r>
        <w:rPr>
          <w:rStyle w:val="CommentReference"/>
        </w:rPr>
        <w:annotationRef/>
      </w:r>
      <w:r>
        <w:t>This was originally:</w:t>
      </w:r>
    </w:p>
    <w:p w14:paraId="38F5BEF4" w14:textId="66ECF810" w:rsidR="00DE7A1D" w:rsidRDefault="00DE7A1D">
      <w:pPr>
        <w:pStyle w:val="CommentText"/>
      </w:pPr>
      <w:r>
        <w:t>5.</w:t>
      </w:r>
      <w:r w:rsidR="00DE57A5" w:rsidRPr="00DE57A5">
        <w:tab/>
      </w:r>
      <w:r>
        <w:t>Mishra G, Prynne C, Paul A, Greenberg D, Bolton-Smith C. The impact of inter-generational social and regional circumstances on dietary intake patterns of British adults: results from the 1946 British Birth Cohort. Public Health Nutrition. 2004;7(06):737-44.</w:t>
      </w:r>
    </w:p>
    <w:p w14:paraId="321E463E" w14:textId="5F46C4B8" w:rsidR="00DE7A1D" w:rsidRDefault="00DE7A1D">
      <w:pPr>
        <w:pStyle w:val="CommentText"/>
      </w:pPr>
    </w:p>
  </w:comment>
  <w:comment w:id="2" w:author="Norman" w:date="2022-06-17T10:07:00Z" w:initials="AB">
    <w:p w14:paraId="7A0827BC" w14:textId="77777777" w:rsidR="00DE7A1D" w:rsidRDefault="00DE7A1D">
      <w:pPr>
        <w:pStyle w:val="CommentText"/>
      </w:pPr>
      <w:r>
        <w:rPr>
          <w:rStyle w:val="CommentReference"/>
        </w:rPr>
        <w:annotationRef/>
      </w:r>
      <w:r>
        <w:t>This was originally:</w:t>
      </w:r>
    </w:p>
    <w:p w14:paraId="008A20CF" w14:textId="00471B4A" w:rsidR="00DE7A1D" w:rsidRDefault="00DE7A1D">
      <w:pPr>
        <w:pStyle w:val="CommentText"/>
      </w:pPr>
      <w:r>
        <w:t>6.</w:t>
      </w:r>
      <w:r w:rsidR="00DE57A5" w:rsidRPr="00DE57A5">
        <w:tab/>
      </w:r>
      <w:r>
        <w:t>Tseng M. Social circumstances and dietary intake. Public Health Nutrition. 2004;7(06):695-6.</w:t>
      </w:r>
    </w:p>
    <w:p w14:paraId="312DA8F0" w14:textId="25E941B2" w:rsidR="00DE7A1D" w:rsidRDefault="00DE7A1D">
      <w:pPr>
        <w:pStyle w:val="CommentText"/>
      </w:pPr>
    </w:p>
  </w:comment>
  <w:comment w:id="3" w:author="Norman" w:date="2022-06-17T10:07:00Z" w:initials="AB">
    <w:p w14:paraId="4FA7CDE0" w14:textId="77777777" w:rsidR="00DE57A5" w:rsidRDefault="00DE57A5">
      <w:pPr>
        <w:pStyle w:val="CommentText"/>
      </w:pPr>
      <w:r>
        <w:rPr>
          <w:rStyle w:val="CommentReference"/>
        </w:rPr>
        <w:annotationRef/>
      </w:r>
      <w:r>
        <w:t>This was originally:</w:t>
      </w:r>
    </w:p>
    <w:p w14:paraId="054CF576" w14:textId="5689AF94" w:rsidR="00DE57A5" w:rsidRDefault="00DE57A5">
      <w:pPr>
        <w:pStyle w:val="CommentText"/>
      </w:pPr>
      <w:r>
        <w:t>14.</w:t>
      </w:r>
      <w:r w:rsidRPr="00DE57A5">
        <w:tab/>
      </w:r>
      <w:r>
        <w:t>Häggström J, Sampaio F, Eurenius E, Pulkki-Brännström AM, Ivarsson A, Lindkvist M, et al. Is the Salut Programme an effective and cost-effective universal health promotion intervention for parents and their children? A register-based retrospective observational study. BMJ open. 2017;7:e016732.</w:t>
      </w:r>
    </w:p>
    <w:p w14:paraId="44ACEE77" w14:textId="3F1AE195" w:rsidR="00DE57A5" w:rsidRDefault="00DE57A5">
      <w:pPr>
        <w:pStyle w:val="CommentText"/>
      </w:pPr>
    </w:p>
  </w:comment>
  <w:comment w:id="4" w:author="Norman" w:date="2022-06-17T10:07:00Z" w:initials="AB">
    <w:p w14:paraId="4CF56481" w14:textId="77777777" w:rsidR="00DE57A5" w:rsidRDefault="00DE57A5">
      <w:pPr>
        <w:pStyle w:val="CommentText"/>
      </w:pPr>
      <w:r>
        <w:rPr>
          <w:rStyle w:val="CommentReference"/>
        </w:rPr>
        <w:annotationRef/>
      </w:r>
      <w:r>
        <w:t>This was originally:</w:t>
      </w:r>
    </w:p>
    <w:p w14:paraId="19360CD2" w14:textId="52D34260" w:rsidR="00DE57A5" w:rsidRDefault="00DE57A5">
      <w:pPr>
        <w:pStyle w:val="CommentText"/>
      </w:pPr>
      <w:r>
        <w:t>23.</w:t>
      </w:r>
      <w:r w:rsidRPr="00DE57A5">
        <w:tab/>
      </w:r>
      <w:r>
        <w:t>Ford FA, Mouratidou T, Wademan SE, Fraser RB. Effect of the introduction of 'Healthy Start' on dietary behaviour during and after pregnancy: early results from the 'before and after' Sheffield study. British Journal of Nutrition. 2009;101(12):1828-36.</w:t>
      </w:r>
    </w:p>
    <w:p w14:paraId="21A292B3" w14:textId="6EADB643" w:rsidR="00DE57A5" w:rsidRDefault="00DE57A5">
      <w:pPr>
        <w:pStyle w:val="CommentText"/>
      </w:pPr>
    </w:p>
  </w:comment>
  <w:comment w:id="5" w:author="Norman" w:date="2022-06-17T10:07:00Z" w:initials="AB">
    <w:p w14:paraId="28D1386B" w14:textId="77777777" w:rsidR="00DE57A5" w:rsidRDefault="00DE57A5">
      <w:pPr>
        <w:pStyle w:val="CommentText"/>
      </w:pPr>
      <w:r>
        <w:rPr>
          <w:rStyle w:val="CommentReference"/>
        </w:rPr>
        <w:annotationRef/>
      </w:r>
      <w:r>
        <w:t>This was originally:</w:t>
      </w:r>
    </w:p>
    <w:p w14:paraId="07830521" w14:textId="403CB1BC" w:rsidR="00DE57A5" w:rsidRDefault="00DE57A5">
      <w:pPr>
        <w:pStyle w:val="CommentText"/>
      </w:pPr>
      <w:r>
        <w:t>24.</w:t>
      </w:r>
      <w:r w:rsidRPr="00DE57A5">
        <w:tab/>
      </w:r>
      <w:r>
        <w:t>Mouratidou T, Ford FA, Wademan SE, Fraser RB. Are the benefits of the ‘healthy start’ food support scheme sustained at three months postpartum? Results from the Sheffield ‘before and after’ study. Maternal &amp; Child Nutrition. 2010;6(7).</w:t>
      </w:r>
    </w:p>
    <w:p w14:paraId="6C4D511D" w14:textId="77777777" w:rsidR="00DE57A5" w:rsidRDefault="00DE57A5">
      <w:pPr>
        <w:pStyle w:val="CommentText"/>
      </w:pPr>
    </w:p>
    <w:p w14:paraId="4D905EDA" w14:textId="6D2DB494" w:rsidR="00DE57A5" w:rsidRDefault="00DE57A5">
      <w:pPr>
        <w:pStyle w:val="CommentText"/>
      </w:pPr>
      <w:r>
        <w:t>WARNING: POTENTIAL FALSE POSITIVE: Please check carefully.</w:t>
      </w:r>
    </w:p>
  </w:comment>
  <w:comment w:id="6" w:author="NIHR standard" w:date="2022-06-17T10:07:00Z" w:initials="AB">
    <w:p w14:paraId="0D75731A" w14:textId="7AA0B582" w:rsidR="00DE57A5" w:rsidRDefault="00DE57A5">
      <w:pPr>
        <w:pStyle w:val="CommentText"/>
      </w:pPr>
      <w:r>
        <w:rPr>
          <w:rStyle w:val="CommentReference"/>
        </w:rPr>
        <w:annotationRef/>
      </w:r>
      <w:r>
        <w:t>The page range has been amended to match that in PubMed; OK?</w:t>
      </w:r>
    </w:p>
  </w:comment>
  <w:comment w:id="7" w:author="Norman" w:date="2022-06-17T10:07:00Z" w:initials="AB">
    <w:p w14:paraId="1C8D9E2A" w14:textId="77777777" w:rsidR="00DE57A5" w:rsidRDefault="00DE57A5">
      <w:pPr>
        <w:pStyle w:val="CommentText"/>
      </w:pPr>
      <w:r>
        <w:rPr>
          <w:rStyle w:val="CommentReference"/>
        </w:rPr>
        <w:annotationRef/>
      </w:r>
      <w:r>
        <w:t>This was originally:</w:t>
      </w:r>
    </w:p>
    <w:p w14:paraId="4592C316" w14:textId="5BC707AE" w:rsidR="00DE57A5" w:rsidRDefault="00DE57A5">
      <w:pPr>
        <w:pStyle w:val="CommentText"/>
      </w:pPr>
      <w:r>
        <w:t>25.</w:t>
      </w:r>
      <w:r w:rsidRPr="00DE57A5">
        <w:tab/>
      </w:r>
      <w:r>
        <w:t>McFadden A, Green JM, Williams V, McLeish J, McCormick F, Fox-Rushby J, et al. Can food vouchers improve nutrition and reduce health inequalities in low-income mothers and young children: a multi-method evaluation of the experiences of beneficiaries and practitioners of the Healthy Start programme in England. BMC Public Health. 2014;14:148.</w:t>
      </w:r>
    </w:p>
    <w:p w14:paraId="209FEE09" w14:textId="21A80349" w:rsidR="00DE57A5" w:rsidRDefault="00DE57A5">
      <w:pPr>
        <w:pStyle w:val="CommentText"/>
      </w:pPr>
    </w:p>
  </w:comment>
  <w:comment w:id="8" w:author="Norman" w:date="2022-06-17T10:07:00Z" w:initials="AB">
    <w:p w14:paraId="57CB2918" w14:textId="77777777" w:rsidR="00DE57A5" w:rsidRDefault="00DE57A5">
      <w:pPr>
        <w:pStyle w:val="CommentText"/>
      </w:pPr>
      <w:r>
        <w:rPr>
          <w:rStyle w:val="CommentReference"/>
        </w:rPr>
        <w:annotationRef/>
      </w:r>
      <w:r>
        <w:t>This was originally:</w:t>
      </w:r>
    </w:p>
    <w:p w14:paraId="78F6512E" w14:textId="7AD2B9BB" w:rsidR="00DE57A5" w:rsidRDefault="00DE57A5">
      <w:pPr>
        <w:pStyle w:val="CommentText"/>
      </w:pPr>
      <w:r>
        <w:t>26.</w:t>
      </w:r>
      <w:r w:rsidRPr="00DE57A5">
        <w:tab/>
      </w:r>
      <w:r>
        <w:t>Scantlebury R, Moody A, Oyebode O, Mindell J. Has the UK Healthy Start voucher scheme been associated with an increased fruit and vegetable intake among target families? Analysis of Health Survey for England data, 2001–2014. J Epidemiol Community Health. 2018;72:623-9.</w:t>
      </w:r>
    </w:p>
    <w:p w14:paraId="09966DBD" w14:textId="6403984B" w:rsidR="00DE57A5" w:rsidRDefault="00DE57A5">
      <w:pPr>
        <w:pStyle w:val="CommentText"/>
      </w:pPr>
    </w:p>
  </w:comment>
  <w:comment w:id="9" w:author="Norman" w:date="2022-06-17T10:07:00Z" w:initials="AB">
    <w:p w14:paraId="200FE3DF" w14:textId="77777777" w:rsidR="00DE57A5" w:rsidRDefault="00DE57A5">
      <w:pPr>
        <w:pStyle w:val="CommentText"/>
      </w:pPr>
      <w:r>
        <w:rPr>
          <w:rStyle w:val="CommentReference"/>
        </w:rPr>
        <w:annotationRef/>
      </w:r>
      <w:r>
        <w:t>This was originally:</w:t>
      </w:r>
    </w:p>
    <w:p w14:paraId="1BF3B994" w14:textId="1A107204" w:rsidR="00DE57A5" w:rsidRDefault="00DE57A5">
      <w:pPr>
        <w:pStyle w:val="CommentText"/>
      </w:pPr>
      <w:r>
        <w:t>29.</w:t>
      </w:r>
      <w:r w:rsidRPr="00DE57A5">
        <w:tab/>
      </w:r>
      <w:r>
        <w:t>Craig P, Cooper C, Gunnell D, Haw S, Lawson K, Macintyre S, et al. Using natural experiments to evaluate population health interventions: new Medical Research Council guidance. J Epidemiol Community Health. 2012;66(12):1182-6.</w:t>
      </w:r>
    </w:p>
    <w:p w14:paraId="0F211BC6" w14:textId="1CA5B3E9" w:rsidR="00DE57A5" w:rsidRDefault="00DE57A5">
      <w:pPr>
        <w:pStyle w:val="CommentText"/>
      </w:pPr>
    </w:p>
  </w:comment>
  <w:comment w:id="10" w:author="Norman" w:date="2022-06-17T10:07:00Z" w:initials="AB">
    <w:p w14:paraId="745A60B1" w14:textId="77777777" w:rsidR="00DE57A5" w:rsidRDefault="00DE57A5">
      <w:pPr>
        <w:pStyle w:val="CommentText"/>
      </w:pPr>
      <w:r>
        <w:rPr>
          <w:rStyle w:val="CommentReference"/>
        </w:rPr>
        <w:annotationRef/>
      </w:r>
      <w:r>
        <w:t>This was originally:</w:t>
      </w:r>
    </w:p>
    <w:p w14:paraId="309D75D1" w14:textId="115DC5C4" w:rsidR="00DE57A5" w:rsidRDefault="00DE57A5">
      <w:pPr>
        <w:pStyle w:val="CommentText"/>
      </w:pPr>
      <w:r>
        <w:t>32.</w:t>
      </w:r>
      <w:r w:rsidRPr="00DE57A5">
        <w:tab/>
      </w:r>
      <w:r>
        <w:t>Bansal N, Chalmers JWT, Fischbacher CM, Steiner MFC, Bhopal RS. Ethnicity and first birth: age, smoking, delivery, gestation, weight and feeding: Scottish health and ethnicity linkage study. European Journal of Public Health. 2014.</w:t>
      </w:r>
    </w:p>
    <w:p w14:paraId="3D68FA96" w14:textId="77777777" w:rsidR="00DE57A5" w:rsidRDefault="00DE57A5">
      <w:pPr>
        <w:pStyle w:val="CommentText"/>
      </w:pPr>
    </w:p>
    <w:p w14:paraId="2699017C" w14:textId="7F620E5A" w:rsidR="00DE57A5" w:rsidRDefault="00DE57A5">
      <w:pPr>
        <w:pStyle w:val="CommentText"/>
      </w:pPr>
      <w:r>
        <w:t>WARNING: POTENTIAL FALSE POSITIVE: Please check carefully.</w:t>
      </w:r>
    </w:p>
  </w:comment>
  <w:comment w:id="11" w:author="NIHR standard" w:date="2022-06-17T10:07:00Z" w:initials="AB">
    <w:p w14:paraId="6FCD85EF" w14:textId="75BAE230" w:rsidR="00DE57A5" w:rsidRDefault="00DE57A5">
      <w:pPr>
        <w:pStyle w:val="CommentText"/>
      </w:pPr>
      <w:r>
        <w:rPr>
          <w:rStyle w:val="CommentReference"/>
        </w:rPr>
        <w:annotationRef/>
      </w:r>
      <w:r>
        <w:t>The page range has been amended to match that in PubMed; OK?</w:t>
      </w:r>
    </w:p>
  </w:comment>
  <w:comment w:id="12" w:author="NIHR standard" w:date="2022-06-17T10:07:00Z" w:initials="AB">
    <w:p w14:paraId="1D844AAB" w14:textId="385A63CE" w:rsidR="00DE57A5" w:rsidRDefault="00DE57A5">
      <w:pPr>
        <w:pStyle w:val="CommentText"/>
      </w:pPr>
      <w:r>
        <w:rPr>
          <w:rStyle w:val="CommentReference"/>
        </w:rPr>
        <w:annotationRef/>
      </w:r>
      <w:r>
        <w:t>The volume has been amended to match that in PubMed; OK?</w:t>
      </w:r>
    </w:p>
  </w:comment>
  <w:comment w:id="13" w:author="Norman" w:date="2022-06-17T10:07:00Z" w:initials="AB">
    <w:p w14:paraId="36E18B42" w14:textId="77777777" w:rsidR="00DE57A5" w:rsidRDefault="00DE57A5">
      <w:pPr>
        <w:pStyle w:val="CommentText"/>
      </w:pPr>
      <w:r>
        <w:rPr>
          <w:rStyle w:val="CommentReference"/>
        </w:rPr>
        <w:annotationRef/>
      </w:r>
      <w:r>
        <w:t>This was originally:</w:t>
      </w:r>
    </w:p>
    <w:p w14:paraId="221AF0A2" w14:textId="12EAEC44" w:rsidR="00DE57A5" w:rsidRDefault="00DE57A5">
      <w:pPr>
        <w:pStyle w:val="CommentText"/>
      </w:pPr>
      <w:r>
        <w:t>40.</w:t>
      </w:r>
      <w:r w:rsidRPr="00DE57A5">
        <w:tab/>
      </w:r>
      <w:r>
        <w:t>Austin PC. A critical appraisal of propensity-score matching in the medical literature between 1996 and 2003. Statistics in Medicine. 2008;27(12):2037-49.</w:t>
      </w:r>
    </w:p>
    <w:p w14:paraId="227788B8" w14:textId="05A83C38" w:rsidR="00DE57A5" w:rsidRDefault="00DE57A5">
      <w:pPr>
        <w:pStyle w:val="CommentText"/>
      </w:pPr>
    </w:p>
  </w:comment>
  <w:comment w:id="14" w:author="Norman" w:date="2022-06-17T10:07:00Z" w:initials="AB">
    <w:p w14:paraId="4484422A" w14:textId="77777777" w:rsidR="00DE57A5" w:rsidRDefault="00DE57A5">
      <w:pPr>
        <w:pStyle w:val="CommentText"/>
      </w:pPr>
      <w:r>
        <w:rPr>
          <w:rStyle w:val="CommentReference"/>
        </w:rPr>
        <w:annotationRef/>
      </w:r>
      <w:r>
        <w:t>This was originally:</w:t>
      </w:r>
    </w:p>
    <w:p w14:paraId="793CBAEC" w14:textId="38366783" w:rsidR="00DE57A5" w:rsidRDefault="00DE57A5">
      <w:pPr>
        <w:pStyle w:val="CommentText"/>
      </w:pPr>
      <w:r>
        <w:t>56.</w:t>
      </w:r>
      <w:r w:rsidRPr="00DE57A5">
        <w:tab/>
      </w:r>
      <w:r>
        <w:t>Abu-Saad K, Fraser D. Maternal nutrition and birth outcomes. Epidemiologic reviews. 2010;32(1):5-25.</w:t>
      </w:r>
    </w:p>
    <w:p w14:paraId="54BF5160" w14:textId="20EB2D7C" w:rsidR="00DE57A5" w:rsidRDefault="00DE57A5">
      <w:pPr>
        <w:pStyle w:val="CommentText"/>
      </w:pPr>
    </w:p>
  </w:comment>
  <w:comment w:id="15" w:author="Norman" w:date="2022-06-17T10:07:00Z" w:initials="AB">
    <w:p w14:paraId="7BB4FA0F" w14:textId="77777777" w:rsidR="00DE57A5" w:rsidRDefault="00DE57A5">
      <w:pPr>
        <w:pStyle w:val="CommentText"/>
      </w:pPr>
      <w:r>
        <w:rPr>
          <w:rStyle w:val="CommentReference"/>
        </w:rPr>
        <w:annotationRef/>
      </w:r>
      <w:r>
        <w:t>This was originally:</w:t>
      </w:r>
    </w:p>
    <w:p w14:paraId="75247750" w14:textId="6BD453D0" w:rsidR="00DE57A5" w:rsidRDefault="00DE57A5">
      <w:pPr>
        <w:pStyle w:val="CommentText"/>
      </w:pPr>
      <w:r>
        <w:t>57.</w:t>
      </w:r>
      <w:r w:rsidRPr="00DE57A5">
        <w:tab/>
      </w:r>
      <w:r>
        <w:t>Barker DJ. The fetal and infant origins of adult disease. BMJ: British Medical Journal. 1990;301(6761):1111.</w:t>
      </w:r>
    </w:p>
    <w:p w14:paraId="5A1027D3" w14:textId="68EA073C" w:rsidR="00DE57A5" w:rsidRDefault="00DE57A5">
      <w:pPr>
        <w:pStyle w:val="CommentText"/>
      </w:pPr>
    </w:p>
  </w:comment>
  <w:comment w:id="16" w:author="Norman" w:date="2022-06-17T10:07:00Z" w:initials="AB">
    <w:p w14:paraId="1A8F865E" w14:textId="77777777" w:rsidR="00DE57A5" w:rsidRDefault="00DE57A5">
      <w:pPr>
        <w:pStyle w:val="CommentText"/>
      </w:pPr>
      <w:r>
        <w:rPr>
          <w:rStyle w:val="CommentReference"/>
        </w:rPr>
        <w:annotationRef/>
      </w:r>
      <w:r>
        <w:t>This was originally:</w:t>
      </w:r>
    </w:p>
    <w:p w14:paraId="7C0E39FB" w14:textId="610415FB" w:rsidR="00DE57A5" w:rsidRDefault="00DE57A5">
      <w:pPr>
        <w:pStyle w:val="CommentText"/>
      </w:pPr>
      <w:r>
        <w:t>58.</w:t>
      </w:r>
      <w:r w:rsidRPr="00DE57A5">
        <w:tab/>
      </w:r>
      <w:r>
        <w:t>Mishra G, Prynne C, Paul A, Greenberg D, Bolton-Smith C. The impact of inter-generational social and regional circumstances on dietary intake patterns of British adults: results from the 1946 British Birth Cohort. Public health nutrition. 2004;7(6):737-44.</w:t>
      </w:r>
    </w:p>
    <w:p w14:paraId="568D7065" w14:textId="3CCC1353" w:rsidR="00DE57A5" w:rsidRDefault="00DE57A5">
      <w:pPr>
        <w:pStyle w:val="CommentText"/>
      </w:pPr>
    </w:p>
  </w:comment>
  <w:comment w:id="17" w:author="Norman" w:date="2022-06-17T10:07:00Z" w:initials="AB">
    <w:p w14:paraId="5BF6C93B" w14:textId="77777777" w:rsidR="00DE57A5" w:rsidRDefault="00DE57A5">
      <w:pPr>
        <w:pStyle w:val="CommentText"/>
      </w:pPr>
      <w:r>
        <w:rPr>
          <w:rStyle w:val="CommentReference"/>
        </w:rPr>
        <w:annotationRef/>
      </w:r>
      <w:r>
        <w:t>This was originally:</w:t>
      </w:r>
    </w:p>
    <w:p w14:paraId="66BB81A8" w14:textId="55B1051E" w:rsidR="00DE57A5" w:rsidRDefault="00DE57A5">
      <w:pPr>
        <w:pStyle w:val="CommentText"/>
      </w:pPr>
      <w:r>
        <w:t>60.</w:t>
      </w:r>
      <w:r w:rsidRPr="00DE57A5">
        <w:tab/>
      </w:r>
      <w:r>
        <w:t>Ford FA, Mouratidou T, Wademan SE, Fraser RB. Effect of the introduction of ‘Healthy Start’on dietary behaviour during and after pregnancy: early results from the ‘before and after’Sheffield study. British journal of nutrition. 2008;101(12):1828-36.</w:t>
      </w:r>
    </w:p>
    <w:p w14:paraId="759979B0" w14:textId="77777777" w:rsidR="00DE57A5" w:rsidRDefault="00DE57A5">
      <w:pPr>
        <w:pStyle w:val="CommentText"/>
      </w:pPr>
    </w:p>
    <w:p w14:paraId="04524848" w14:textId="1BDE3DFD" w:rsidR="00DE57A5" w:rsidRDefault="00DE57A5">
      <w:pPr>
        <w:pStyle w:val="CommentText"/>
      </w:pPr>
      <w:r>
        <w:t>WARNING: POTENTIAL FALSE POSITIVE: Please check carefully.</w:t>
      </w:r>
    </w:p>
  </w:comment>
  <w:comment w:id="18" w:author="NIHR standard" w:date="2022-06-17T10:07:00Z" w:initials="AB">
    <w:p w14:paraId="37FCDFDD" w14:textId="52250A6E" w:rsidR="00DE57A5" w:rsidRDefault="00DE57A5">
      <w:pPr>
        <w:pStyle w:val="CommentText"/>
      </w:pPr>
      <w:r>
        <w:rPr>
          <w:rStyle w:val="CommentReference"/>
        </w:rPr>
        <w:annotationRef/>
      </w:r>
      <w:r>
        <w:t>The year has been amended to match that in PubMed; OK?</w:t>
      </w:r>
    </w:p>
  </w:comment>
  <w:comment w:id="19" w:author="Norman" w:date="2022-06-17T10:07:00Z" w:initials="AB">
    <w:p w14:paraId="10DA2CAF" w14:textId="77777777" w:rsidR="00DE57A5" w:rsidRDefault="00DE57A5">
      <w:pPr>
        <w:pStyle w:val="CommentText"/>
      </w:pPr>
      <w:r>
        <w:rPr>
          <w:rStyle w:val="CommentReference"/>
        </w:rPr>
        <w:annotationRef/>
      </w:r>
      <w:r>
        <w:t>This was originally:</w:t>
      </w:r>
    </w:p>
    <w:p w14:paraId="3BD7DFE6" w14:textId="37A1446B" w:rsidR="00DE57A5" w:rsidRDefault="00DE57A5">
      <w:pPr>
        <w:pStyle w:val="CommentText"/>
      </w:pPr>
      <w:r>
        <w:t>61.</w:t>
      </w:r>
      <w:r w:rsidRPr="00DE57A5">
        <w:tab/>
      </w:r>
      <w:r>
        <w:t>Mouratidou T, Ford FA, Wademan SE, Fraser RB. Are the benefits of the ‘healthy start’food support scheme sustained at three months postpartum? Results from the Sheffield ‘before and after’study. Maternal &amp; child nutrition. 2010;6(4):347-57.</w:t>
      </w:r>
    </w:p>
    <w:p w14:paraId="74FD5CA1" w14:textId="621ADE88" w:rsidR="00DE57A5" w:rsidRDefault="00DE57A5">
      <w:pPr>
        <w:pStyle w:val="CommentText"/>
      </w:pPr>
    </w:p>
  </w:comment>
  <w:comment w:id="20" w:author="Norman" w:date="2022-06-17T10:07:00Z" w:initials="AB">
    <w:p w14:paraId="508DEFF5" w14:textId="77777777" w:rsidR="00DE57A5" w:rsidRDefault="00DE57A5">
      <w:pPr>
        <w:pStyle w:val="CommentText"/>
      </w:pPr>
      <w:r>
        <w:rPr>
          <w:rStyle w:val="CommentReference"/>
        </w:rPr>
        <w:annotationRef/>
      </w:r>
      <w:r>
        <w:t>This was originally:</w:t>
      </w:r>
    </w:p>
    <w:p w14:paraId="32CB179F" w14:textId="367AB300" w:rsidR="00DE57A5" w:rsidRDefault="00DE57A5">
      <w:pPr>
        <w:pStyle w:val="CommentText"/>
      </w:pPr>
      <w:r>
        <w:t>62.</w:t>
      </w:r>
      <w:r w:rsidRPr="00DE57A5">
        <w:tab/>
      </w:r>
      <w:r>
        <w:t>Husereau D, MF D, Petrou S, Carswell C, Moher D, Greenberg D, et al. Consolidated Health Economic Evaluation Reporting Standards (CHEERS) Statement. Int J Technol Assess Health Care2000 Winter. 2013;29(2):117-22.</w:t>
      </w:r>
    </w:p>
    <w:p w14:paraId="0F44677E" w14:textId="703B6CD5" w:rsidR="00DE57A5" w:rsidRDefault="00DE57A5">
      <w:pPr>
        <w:pStyle w:val="CommentText"/>
      </w:pPr>
    </w:p>
  </w:comment>
  <w:comment w:id="21" w:author="Norman" w:date="2022-06-17T10:07:00Z" w:initials="AB">
    <w:p w14:paraId="5F700751" w14:textId="77777777" w:rsidR="00DE57A5" w:rsidRDefault="00DE57A5">
      <w:pPr>
        <w:pStyle w:val="CommentText"/>
      </w:pPr>
      <w:r>
        <w:rPr>
          <w:rStyle w:val="CommentReference"/>
        </w:rPr>
        <w:annotationRef/>
      </w:r>
      <w:r>
        <w:t>This was originally:</w:t>
      </w:r>
    </w:p>
    <w:p w14:paraId="35FF8098" w14:textId="40044FDB" w:rsidR="00DE57A5" w:rsidRDefault="00DE57A5">
      <w:pPr>
        <w:pStyle w:val="CommentText"/>
      </w:pPr>
      <w:r>
        <w:t>66.</w:t>
      </w:r>
      <w:r w:rsidRPr="00DE57A5">
        <w:tab/>
      </w:r>
      <w:r>
        <w:t>Husereau D, Drummond M, Petrou S, Carswell C, Moher D, Greenberg D, et al. Consolidated Health Economic Evaluation Reporting Standards (CHEERS)--explanation and elaboration: a report of the ISPOR Health Economic Evaluation Publication Guidelines Good Reporting Practices Task Force. Value Health. 2013;16(2):231-50.</w:t>
      </w:r>
    </w:p>
    <w:p w14:paraId="0D020128" w14:textId="05D0CAC4" w:rsidR="00DE57A5" w:rsidRDefault="00DE57A5">
      <w:pPr>
        <w:pStyle w:val="CommentText"/>
      </w:pPr>
    </w:p>
  </w:comment>
  <w:comment w:id="22" w:author="Norman" w:date="2022-06-17T10:07:00Z" w:initials="AB">
    <w:p w14:paraId="38DC25CC" w14:textId="77777777" w:rsidR="00DE57A5" w:rsidRDefault="00DE57A5">
      <w:pPr>
        <w:pStyle w:val="CommentText"/>
      </w:pPr>
      <w:r>
        <w:rPr>
          <w:rStyle w:val="CommentReference"/>
        </w:rPr>
        <w:annotationRef/>
      </w:r>
      <w:r>
        <w:t>This was originally:</w:t>
      </w:r>
    </w:p>
    <w:p w14:paraId="3256AFB6" w14:textId="2500DE45" w:rsidR="00DE57A5" w:rsidRDefault="00DE57A5">
      <w:pPr>
        <w:pStyle w:val="CommentText"/>
      </w:pPr>
      <w:r>
        <w:t>67.</w:t>
      </w:r>
      <w:r w:rsidRPr="00DE57A5">
        <w:tab/>
      </w:r>
      <w:r>
        <w:t>Deidda M, Geue C, Kreif N, Dundas R, McIntosh E. A framework for conducting economic evaluations alongside natural experiments. Social science &amp; medicine. 2019;220:353-61.</w:t>
      </w:r>
    </w:p>
    <w:p w14:paraId="5722433D" w14:textId="70A2D873" w:rsidR="00DE57A5" w:rsidRDefault="00DE57A5">
      <w:pPr>
        <w:pStyle w:val="CommentText"/>
      </w:pPr>
    </w:p>
  </w:comment>
  <w:comment w:id="23" w:author="Norman" w:date="2022-06-17T10:07:00Z" w:initials="AB">
    <w:p w14:paraId="6192D0B1" w14:textId="77777777" w:rsidR="00DE57A5" w:rsidRDefault="00DE57A5">
      <w:pPr>
        <w:pStyle w:val="CommentText"/>
      </w:pPr>
      <w:r>
        <w:rPr>
          <w:rStyle w:val="CommentReference"/>
        </w:rPr>
        <w:annotationRef/>
      </w:r>
      <w:r>
        <w:t>This was originally:</w:t>
      </w:r>
    </w:p>
    <w:p w14:paraId="05C50995" w14:textId="3702C2F2" w:rsidR="00DE57A5" w:rsidRDefault="00DE57A5">
      <w:pPr>
        <w:pStyle w:val="CommentText"/>
      </w:pPr>
      <w:r>
        <w:t>68.</w:t>
      </w:r>
      <w:r w:rsidRPr="00DE57A5">
        <w:tab/>
      </w:r>
      <w:r>
        <w:t>Craig P, Katikireddi SV, Leyland A, Popham F. Natural Experiments: An Overview of Methods, Approaches, and Contributions to Public Health Intervention Research. Annual review of public health. 2017;38:39-56.</w:t>
      </w:r>
    </w:p>
    <w:p w14:paraId="2D2FE7FE" w14:textId="585D1394" w:rsidR="00DE57A5" w:rsidRDefault="00DE57A5">
      <w:pPr>
        <w:pStyle w:val="CommentText"/>
      </w:pPr>
    </w:p>
  </w:comment>
  <w:comment w:id="24" w:author="Norman" w:date="2022-06-17T10:07:00Z" w:initials="AB">
    <w:p w14:paraId="50EDCD30" w14:textId="77777777" w:rsidR="00DE57A5" w:rsidRDefault="00DE57A5">
      <w:pPr>
        <w:pStyle w:val="CommentText"/>
      </w:pPr>
      <w:r>
        <w:rPr>
          <w:rStyle w:val="CommentReference"/>
        </w:rPr>
        <w:annotationRef/>
      </w:r>
      <w:r>
        <w:t>This was originally:</w:t>
      </w:r>
    </w:p>
    <w:p w14:paraId="7C240607" w14:textId="4041B6D6" w:rsidR="00DE57A5" w:rsidRDefault="00DE57A5">
      <w:pPr>
        <w:pStyle w:val="CommentText"/>
      </w:pPr>
      <w:r>
        <w:t>69.</w:t>
      </w:r>
      <w:r w:rsidRPr="00DE57A5">
        <w:tab/>
      </w:r>
      <w:r>
        <w:t>Petticrew M, Cummins S, Ferrell C, Findlay A, Higgins C, Hoy C, et al. Natural experiments: an underused tool for public health? Public health. 2005;119(9):751-7.</w:t>
      </w:r>
    </w:p>
    <w:p w14:paraId="5E80C5B2" w14:textId="4DE598CE" w:rsidR="00DE57A5" w:rsidRDefault="00DE57A5">
      <w:pPr>
        <w:pStyle w:val="CommentText"/>
      </w:pPr>
    </w:p>
  </w:comment>
  <w:comment w:id="25" w:author="Norman" w:date="2022-06-17T10:07:00Z" w:initials="AB">
    <w:p w14:paraId="72C87E7A" w14:textId="77777777" w:rsidR="00DE57A5" w:rsidRDefault="00DE57A5">
      <w:pPr>
        <w:pStyle w:val="CommentText"/>
      </w:pPr>
      <w:r>
        <w:rPr>
          <w:rStyle w:val="CommentReference"/>
        </w:rPr>
        <w:annotationRef/>
      </w:r>
      <w:r>
        <w:t>This was originally:</w:t>
      </w:r>
    </w:p>
    <w:p w14:paraId="3E2698E1" w14:textId="666EE93F" w:rsidR="00DE57A5" w:rsidRDefault="00DE57A5">
      <w:pPr>
        <w:pStyle w:val="CommentText"/>
      </w:pPr>
      <w:r>
        <w:t>71.</w:t>
      </w:r>
      <w:r w:rsidRPr="00DE57A5">
        <w:tab/>
      </w:r>
      <w:r>
        <w:t>Weatherly H, Drummond M, Claxton K, Cookson R, Ferguson B, Godfrey C, et al. Methods for assessing the cost-effectiveness of public health interventions: key challenges and recommendations. Health policy. 2009;93(2-3):85-92.</w:t>
      </w:r>
    </w:p>
    <w:p w14:paraId="62F794FD" w14:textId="10A8FE0B" w:rsidR="00DE57A5" w:rsidRDefault="00DE57A5">
      <w:pPr>
        <w:pStyle w:val="CommentText"/>
      </w:pPr>
    </w:p>
  </w:comment>
  <w:comment w:id="26" w:author="Norman" w:date="2022-06-17T10:07:00Z" w:initials="AB">
    <w:p w14:paraId="2E6E282D" w14:textId="77777777" w:rsidR="00DE57A5" w:rsidRDefault="00DE57A5">
      <w:pPr>
        <w:pStyle w:val="CommentText"/>
      </w:pPr>
      <w:r>
        <w:rPr>
          <w:rStyle w:val="CommentReference"/>
        </w:rPr>
        <w:annotationRef/>
      </w:r>
      <w:r>
        <w:t>This was originally:</w:t>
      </w:r>
    </w:p>
    <w:p w14:paraId="3C584621" w14:textId="6B5C95F1" w:rsidR="00DE57A5" w:rsidRDefault="00DE57A5">
      <w:pPr>
        <w:pStyle w:val="CommentText"/>
      </w:pPr>
      <w:r>
        <w:t>73.</w:t>
      </w:r>
      <w:r w:rsidRPr="00DE57A5">
        <w:tab/>
      </w:r>
      <w:r>
        <w:t>Von Elm E, Altman DG, Egger M, Pocock SJ, Gøtzsche PC, Vandenbroucke JP, et al. The Strengthening the Reporting of Observational Studies in Epidemiology (STROBE) Statement: guidelines for reporting observational studies. International Journal of Surgery. 2014;12(12):1495-9.</w:t>
      </w:r>
    </w:p>
    <w:p w14:paraId="5A0D5F58" w14:textId="77777777" w:rsidR="00DE57A5" w:rsidRDefault="00DE57A5">
      <w:pPr>
        <w:pStyle w:val="CommentText"/>
      </w:pPr>
    </w:p>
    <w:p w14:paraId="245C2703" w14:textId="4E0F98F2" w:rsidR="00DE57A5" w:rsidRDefault="00DE57A5">
      <w:pPr>
        <w:pStyle w:val="CommentText"/>
      </w:pPr>
      <w:r>
        <w:t>WARNING: POTENTIAL FALSE POSITIVE: Please check carefully.</w:t>
      </w:r>
    </w:p>
  </w:comment>
  <w:comment w:id="27" w:author="NIHR standard" w:date="2022-06-17T10:07:00Z" w:initials="AB">
    <w:p w14:paraId="476B5DEC" w14:textId="5B64747D" w:rsidR="00DE57A5" w:rsidRDefault="00DE57A5">
      <w:pPr>
        <w:pStyle w:val="CommentText"/>
      </w:pPr>
      <w:r>
        <w:rPr>
          <w:rStyle w:val="CommentReference"/>
        </w:rPr>
        <w:annotationRef/>
      </w:r>
      <w:r>
        <w:t>The first author has been amended to match that in PubMed; OK?</w:t>
      </w:r>
    </w:p>
  </w:comment>
  <w:comment w:id="28" w:author="Norman" w:date="2022-06-17T10:07:00Z" w:initials="AB">
    <w:p w14:paraId="7C3C5C0A" w14:textId="77777777" w:rsidR="00DE57A5" w:rsidRDefault="00DE57A5">
      <w:pPr>
        <w:pStyle w:val="CommentText"/>
      </w:pPr>
      <w:r>
        <w:rPr>
          <w:rStyle w:val="CommentReference"/>
        </w:rPr>
        <w:annotationRef/>
      </w:r>
      <w:r>
        <w:t>This was originally:</w:t>
      </w:r>
    </w:p>
    <w:p w14:paraId="5542266C" w14:textId="144F62E7" w:rsidR="00DE57A5" w:rsidRDefault="00DE57A5">
      <w:pPr>
        <w:pStyle w:val="CommentText"/>
      </w:pPr>
      <w:r>
        <w:t>74.</w:t>
      </w:r>
      <w:r w:rsidRPr="00DE57A5">
        <w:tab/>
      </w:r>
      <w:r>
        <w:t>Des Jarlais DC, Lyles C, Crepaz N. Improving the reporting quality of nonrandomized evaluations of behavioral and public health interventions: the TREND statement. American journal of public health. 2004;94(3):361-6.</w:t>
      </w:r>
    </w:p>
    <w:p w14:paraId="66C4507E" w14:textId="77777777" w:rsidR="00DE57A5" w:rsidRDefault="00DE57A5">
      <w:pPr>
        <w:pStyle w:val="CommentText"/>
      </w:pPr>
    </w:p>
    <w:p w14:paraId="22AEA956" w14:textId="7D605805" w:rsidR="00DE57A5" w:rsidRDefault="00DE57A5">
      <w:pPr>
        <w:pStyle w:val="CommentText"/>
      </w:pPr>
      <w:r>
        <w:t>WARNING: POTENTIAL FALSE POSITIVE: Please check carefully.</w:t>
      </w:r>
    </w:p>
  </w:comment>
  <w:comment w:id="29" w:author="NIHR standard" w:date="2022-06-17T10:07:00Z" w:initials="AB">
    <w:p w14:paraId="741DAB5A" w14:textId="0A4A9219" w:rsidR="00DE57A5" w:rsidRDefault="00DE57A5">
      <w:pPr>
        <w:pStyle w:val="CommentText"/>
      </w:pPr>
      <w:r>
        <w:rPr>
          <w:rStyle w:val="CommentReference"/>
        </w:rPr>
        <w:annotationRef/>
      </w:r>
      <w:r>
        <w:t>The first author has been amended to match that in PubMed; OK?</w:t>
      </w:r>
    </w:p>
  </w:comment>
  <w:comment w:id="30" w:author="Norman" w:date="2022-06-17T10:07:00Z" w:initials="AB">
    <w:p w14:paraId="189D1DBD" w14:textId="77777777" w:rsidR="00DE57A5" w:rsidRDefault="00DE57A5">
      <w:pPr>
        <w:pStyle w:val="CommentText"/>
      </w:pPr>
      <w:r>
        <w:rPr>
          <w:rStyle w:val="CommentReference"/>
        </w:rPr>
        <w:annotationRef/>
      </w:r>
      <w:r>
        <w:t>This was originally:</w:t>
      </w:r>
    </w:p>
    <w:p w14:paraId="07A7409A" w14:textId="2CB87699" w:rsidR="00DE57A5" w:rsidRDefault="00DE57A5">
      <w:pPr>
        <w:pStyle w:val="CommentText"/>
      </w:pPr>
      <w:r>
        <w:t>75.</w:t>
      </w:r>
      <w:r w:rsidRPr="00DE57A5">
        <w:tab/>
      </w:r>
      <w:r>
        <w:t>Smith RD, Petticrew M. Public health evaluation in the twenty-first century: time to see the wood as well as the trees. Journal of Public Health. 2010;32(1):2-7.</w:t>
      </w:r>
    </w:p>
    <w:p w14:paraId="4D74D163" w14:textId="5E8AA34A" w:rsidR="00DE57A5" w:rsidRDefault="00DE57A5">
      <w:pPr>
        <w:pStyle w:val="CommentText"/>
      </w:pPr>
    </w:p>
  </w:comment>
  <w:comment w:id="31" w:author="Norman" w:date="2022-06-17T10:07:00Z" w:initials="AB">
    <w:p w14:paraId="65BCC90D" w14:textId="77777777" w:rsidR="00DE57A5" w:rsidRDefault="00DE57A5">
      <w:pPr>
        <w:pStyle w:val="CommentText"/>
      </w:pPr>
      <w:r>
        <w:rPr>
          <w:rStyle w:val="CommentReference"/>
        </w:rPr>
        <w:annotationRef/>
      </w:r>
      <w:r>
        <w:t>This was originally:</w:t>
      </w:r>
    </w:p>
    <w:p w14:paraId="5C12BFD8" w14:textId="1AB8E782" w:rsidR="00DE57A5" w:rsidRDefault="00DE57A5">
      <w:pPr>
        <w:pStyle w:val="CommentText"/>
      </w:pPr>
      <w:r>
        <w:t>76.</w:t>
      </w:r>
      <w:r w:rsidRPr="00DE57A5">
        <w:tab/>
      </w:r>
      <w:r>
        <w:t>Kreif, Grieve, Sadique. Statistical methods for cost-effectiveness analyses that use observational data: a critical appraisal tool and review of current practice. Health Econ. 2013;22(4):486-500.</w:t>
      </w:r>
    </w:p>
    <w:p w14:paraId="64FE7A3D" w14:textId="1679DCA7" w:rsidR="00DE57A5" w:rsidRDefault="00DE57A5">
      <w:pPr>
        <w:pStyle w:val="CommentText"/>
      </w:pPr>
    </w:p>
  </w:comment>
  <w:comment w:id="32" w:author="Norman" w:date="2022-06-17T10:07:00Z" w:initials="AB">
    <w:p w14:paraId="3A40C9F0" w14:textId="77777777" w:rsidR="00DE57A5" w:rsidRDefault="00DE57A5">
      <w:pPr>
        <w:pStyle w:val="CommentText"/>
      </w:pPr>
      <w:r>
        <w:rPr>
          <w:rStyle w:val="CommentReference"/>
        </w:rPr>
        <w:annotationRef/>
      </w:r>
      <w:r>
        <w:t>This was originally:</w:t>
      </w:r>
    </w:p>
    <w:p w14:paraId="4101B403" w14:textId="12FA84DA" w:rsidR="00DE57A5" w:rsidRDefault="00DE57A5">
      <w:pPr>
        <w:pStyle w:val="CommentText"/>
      </w:pPr>
      <w:r>
        <w:t>78.</w:t>
      </w:r>
      <w:r w:rsidRPr="00DE57A5">
        <w:tab/>
      </w:r>
      <w:r>
        <w:t>Craig, Katikireddi SV, Leyland A, Popham F. Natural Experiments: An Overview of Methods, Approaches, and Contributions to Public Health Intervention Research. Annual review of public health. 2017;38:39-56.</w:t>
      </w:r>
    </w:p>
    <w:p w14:paraId="7D076578" w14:textId="628FC83D" w:rsidR="00DE57A5" w:rsidRDefault="00DE57A5">
      <w:pPr>
        <w:pStyle w:val="CommentText"/>
      </w:pPr>
    </w:p>
  </w:comment>
  <w:comment w:id="33" w:author="Norman" w:date="2022-06-17T10:07:00Z" w:initials="AB">
    <w:p w14:paraId="09122C0D" w14:textId="77777777" w:rsidR="00DE57A5" w:rsidRDefault="00DE57A5">
      <w:pPr>
        <w:pStyle w:val="CommentText"/>
      </w:pPr>
      <w:r>
        <w:rPr>
          <w:rStyle w:val="CommentReference"/>
        </w:rPr>
        <w:annotationRef/>
      </w:r>
      <w:r>
        <w:t>This was originally:</w:t>
      </w:r>
    </w:p>
    <w:p w14:paraId="434D8DF9" w14:textId="0C84C49E" w:rsidR="00DE57A5" w:rsidRDefault="00DE57A5">
      <w:pPr>
        <w:pStyle w:val="CommentText"/>
      </w:pPr>
      <w:r>
        <w:t>80.</w:t>
      </w:r>
      <w:r w:rsidRPr="00DE57A5">
        <w:tab/>
      </w:r>
      <w:r>
        <w:t>Alfonso YN, Bishai D, Bua J, Mutebi A, Mayora C, Ekirapa-Kiracho E. Cost-effectiveness analysis of a voucher scheme combined with obstetrical quality improvements: quasi experimental results from Uganda. Health policy and planning. 2015;30(1):88-99.</w:t>
      </w:r>
    </w:p>
    <w:p w14:paraId="73F426C6" w14:textId="7752ECA6" w:rsidR="00DE57A5" w:rsidRDefault="00DE57A5">
      <w:pPr>
        <w:pStyle w:val="CommentText"/>
      </w:pPr>
    </w:p>
  </w:comment>
  <w:comment w:id="34" w:author="Norman" w:date="2022-06-17T10:07:00Z" w:initials="AB">
    <w:p w14:paraId="7ECDD724" w14:textId="77777777" w:rsidR="00DE57A5" w:rsidRDefault="00DE57A5">
      <w:pPr>
        <w:pStyle w:val="CommentText"/>
      </w:pPr>
      <w:r>
        <w:rPr>
          <w:rStyle w:val="CommentReference"/>
        </w:rPr>
        <w:annotationRef/>
      </w:r>
      <w:r>
        <w:t>This was originally:</w:t>
      </w:r>
    </w:p>
    <w:p w14:paraId="18D2E1E0" w14:textId="72C2451B" w:rsidR="00DE57A5" w:rsidRDefault="00DE57A5">
      <w:pPr>
        <w:pStyle w:val="CommentText"/>
      </w:pPr>
      <w:r>
        <w:t>85.</w:t>
      </w:r>
      <w:r w:rsidRPr="00DE57A5">
        <w:tab/>
      </w:r>
      <w:r>
        <w:t>Dundas R, Ouedraogo S, Bond L, Briggs AH, Chalmers J, Gray R, et al. Evaluation of health in pregnancy grants in Scotland: a protocol for a natural experiment. BMJ open. 2014;4(10):e006547.</w:t>
      </w:r>
    </w:p>
    <w:p w14:paraId="4B527D73" w14:textId="39C36A54" w:rsidR="00DE57A5" w:rsidRDefault="00DE57A5">
      <w:pPr>
        <w:pStyle w:val="CommentText"/>
      </w:pPr>
    </w:p>
  </w:comment>
  <w:comment w:id="35" w:author="Norman" w:date="2022-06-17T10:07:00Z" w:initials="AB">
    <w:p w14:paraId="41B06028" w14:textId="77777777" w:rsidR="00DE57A5" w:rsidRDefault="00DE57A5">
      <w:pPr>
        <w:pStyle w:val="CommentText"/>
      </w:pPr>
      <w:r>
        <w:rPr>
          <w:rStyle w:val="CommentReference"/>
        </w:rPr>
        <w:annotationRef/>
      </w:r>
      <w:r>
        <w:t>This was originally:</w:t>
      </w:r>
    </w:p>
    <w:p w14:paraId="285EBAAD" w14:textId="76EAD703" w:rsidR="00DE57A5" w:rsidRDefault="00DE57A5">
      <w:pPr>
        <w:pStyle w:val="CommentText"/>
      </w:pPr>
      <w:r>
        <w:t>93.</w:t>
      </w:r>
      <w:r w:rsidRPr="00DE57A5">
        <w:tab/>
      </w:r>
      <w:r>
        <w:t>Faria R, Gomes M, Epstein D, White IR. A guide to handling missing data in cost-effectiveness analysis conducted within randomised controlled trials. PharmacoEconomics. 2014;32(12):1157-70.</w:t>
      </w:r>
    </w:p>
    <w:p w14:paraId="12B892AF" w14:textId="2665BF0A" w:rsidR="00DE57A5" w:rsidRDefault="00DE57A5">
      <w:pPr>
        <w:pStyle w:val="CommentText"/>
      </w:pPr>
    </w:p>
  </w:comment>
  <w:comment w:id="36" w:author="Norman" w:date="2022-06-17T10:07:00Z" w:initials="AB">
    <w:p w14:paraId="79E6C42D" w14:textId="77777777" w:rsidR="00DE57A5" w:rsidRDefault="00DE57A5">
      <w:pPr>
        <w:pStyle w:val="CommentText"/>
      </w:pPr>
      <w:r>
        <w:rPr>
          <w:rStyle w:val="CommentReference"/>
        </w:rPr>
        <w:annotationRef/>
      </w:r>
      <w:r>
        <w:t>This was originally:</w:t>
      </w:r>
    </w:p>
    <w:p w14:paraId="126FFB31" w14:textId="17A33421" w:rsidR="00DE57A5" w:rsidRDefault="00DE57A5">
      <w:pPr>
        <w:pStyle w:val="CommentText"/>
      </w:pPr>
      <w:r>
        <w:t>94.</w:t>
      </w:r>
      <w:r w:rsidRPr="00DE57A5">
        <w:tab/>
      </w:r>
      <w:r>
        <w:t>Jakobsen JC, Gluud C, Wetterslev J, Winkel P. When and how should multiple imputation be used for handling missing data in randomised clinical trials–a practical guide with flowcharts. BMC medical research methodology. 2017;17(1):162.</w:t>
      </w:r>
    </w:p>
    <w:p w14:paraId="380CABA1" w14:textId="2CA0086D" w:rsidR="00DE57A5" w:rsidRDefault="00DE57A5">
      <w:pPr>
        <w:pStyle w:val="CommentText"/>
      </w:pPr>
    </w:p>
  </w:comment>
  <w:comment w:id="37" w:author="Norman" w:date="2022-06-17T10:07:00Z" w:initials="AB">
    <w:p w14:paraId="377717B2" w14:textId="77777777" w:rsidR="00DE57A5" w:rsidRDefault="00DE57A5">
      <w:pPr>
        <w:pStyle w:val="CommentText"/>
      </w:pPr>
      <w:r>
        <w:rPr>
          <w:rStyle w:val="CommentReference"/>
        </w:rPr>
        <w:annotationRef/>
      </w:r>
      <w:r>
        <w:t>This was originally:</w:t>
      </w:r>
    </w:p>
    <w:p w14:paraId="760FF839" w14:textId="69287968" w:rsidR="00DE57A5" w:rsidRDefault="00DE57A5">
      <w:pPr>
        <w:pStyle w:val="CommentText"/>
      </w:pPr>
      <w:r>
        <w:t>96.</w:t>
      </w:r>
      <w:r w:rsidRPr="00DE57A5">
        <w:tab/>
      </w:r>
      <w:r>
        <w:t>White IR, Royston P, Wood AM. Multiple imputation using chained equations: issues and guidance for practice. Statistics in medicine. 2011;30(4):377-99.</w:t>
      </w:r>
    </w:p>
    <w:p w14:paraId="7A9B1457" w14:textId="6ED4D583" w:rsidR="00DE57A5" w:rsidRDefault="00DE57A5">
      <w:pPr>
        <w:pStyle w:val="CommentText"/>
      </w:pPr>
    </w:p>
  </w:comment>
  <w:comment w:id="38" w:author="Norman" w:date="2022-06-17T10:07:00Z" w:initials="AB">
    <w:p w14:paraId="498A921E" w14:textId="77777777" w:rsidR="00DE57A5" w:rsidRDefault="00DE57A5">
      <w:pPr>
        <w:pStyle w:val="CommentText"/>
      </w:pPr>
      <w:r>
        <w:rPr>
          <w:rStyle w:val="CommentReference"/>
        </w:rPr>
        <w:annotationRef/>
      </w:r>
      <w:r>
        <w:t>This was originally:</w:t>
      </w:r>
    </w:p>
    <w:p w14:paraId="0A2F99FC" w14:textId="69AC8FCA" w:rsidR="00DE57A5" w:rsidRDefault="00DE57A5">
      <w:pPr>
        <w:pStyle w:val="CommentText"/>
      </w:pPr>
      <w:r>
        <w:t>97.</w:t>
      </w:r>
      <w:r w:rsidRPr="00DE57A5">
        <w:tab/>
      </w:r>
      <w:r>
        <w:t>Husereau D, Drummond M, Petrou S, Carswell C, Moher D, Greenberg D, et al. Consolidated health economic evaluation reporting standards (CHEERS) statement. International journal of technology assessment in health care. 2013;29(2):117-22.</w:t>
      </w:r>
    </w:p>
    <w:p w14:paraId="09AEAEB3" w14:textId="7B4B1348" w:rsidR="00DE57A5" w:rsidRDefault="00DE57A5">
      <w:pPr>
        <w:pStyle w:val="CommentText"/>
      </w:pPr>
    </w:p>
  </w:comment>
  <w:comment w:id="39" w:author="Norman" w:date="2022-06-17T10:07:00Z" w:initials="AB">
    <w:p w14:paraId="267E2CF3" w14:textId="77777777" w:rsidR="00DE57A5" w:rsidRDefault="00DE57A5">
      <w:pPr>
        <w:pStyle w:val="CommentText"/>
      </w:pPr>
      <w:r>
        <w:rPr>
          <w:rStyle w:val="CommentReference"/>
        </w:rPr>
        <w:annotationRef/>
      </w:r>
      <w:r>
        <w:t>This was originally:</w:t>
      </w:r>
    </w:p>
    <w:p w14:paraId="7A828B48" w14:textId="71B34BFE" w:rsidR="00DE57A5" w:rsidRDefault="00DE57A5">
      <w:pPr>
        <w:pStyle w:val="CommentText"/>
      </w:pPr>
      <w:r>
        <w:t>98.</w:t>
      </w:r>
      <w:r w:rsidRPr="00DE57A5">
        <w:tab/>
      </w:r>
      <w:r>
        <w:t>Briggs AH. Statistical approaches to handling uncertainty in health economic evaluation. European journal of gastroenterology &amp; hepatology. 2004;16(6):551-61.</w:t>
      </w:r>
    </w:p>
    <w:p w14:paraId="33C43D07" w14:textId="518F1E19" w:rsidR="00DE57A5" w:rsidRDefault="00DE57A5">
      <w:pPr>
        <w:pStyle w:val="CommentText"/>
      </w:pPr>
    </w:p>
  </w:comment>
  <w:comment w:id="40" w:author="Norman" w:date="2022-06-17T10:07:00Z" w:initials="AB">
    <w:p w14:paraId="089FEE18" w14:textId="77777777" w:rsidR="00DE57A5" w:rsidRDefault="00DE57A5">
      <w:pPr>
        <w:pStyle w:val="CommentText"/>
      </w:pPr>
      <w:r>
        <w:rPr>
          <w:rStyle w:val="CommentReference"/>
        </w:rPr>
        <w:annotationRef/>
      </w:r>
      <w:r>
        <w:t>This was originally:</w:t>
      </w:r>
    </w:p>
    <w:p w14:paraId="473376F4" w14:textId="2A9E0828" w:rsidR="00DE57A5" w:rsidRDefault="00DE57A5">
      <w:pPr>
        <w:pStyle w:val="CommentText"/>
      </w:pPr>
      <w:r>
        <w:t>102.</w:t>
      </w:r>
      <w:r w:rsidRPr="00DE57A5">
        <w:tab/>
      </w:r>
      <w:r>
        <w:t>Sonchak L. The Impact of WIC on Infant Health: Evidence from South Carolina. Maternal and Child Health Journal. 2016;20(7):1518-25.</w:t>
      </w:r>
    </w:p>
    <w:p w14:paraId="7A98A79C" w14:textId="7A7DCD21" w:rsidR="00DE57A5" w:rsidRDefault="00DE57A5">
      <w:pPr>
        <w:pStyle w:val="CommentText"/>
      </w:pPr>
    </w:p>
  </w:comment>
  <w:comment w:id="41" w:author="Norman" w:date="2022-06-17T10:07:00Z" w:initials="AB">
    <w:p w14:paraId="0959245B" w14:textId="77777777" w:rsidR="00DE57A5" w:rsidRDefault="00DE57A5">
      <w:pPr>
        <w:pStyle w:val="CommentText"/>
      </w:pPr>
      <w:r>
        <w:rPr>
          <w:rStyle w:val="CommentReference"/>
        </w:rPr>
        <w:annotationRef/>
      </w:r>
      <w:r>
        <w:t>This was originally:</w:t>
      </w:r>
    </w:p>
    <w:p w14:paraId="60862A3D" w14:textId="51C16A94" w:rsidR="00DE57A5" w:rsidRDefault="00DE57A5">
      <w:pPr>
        <w:pStyle w:val="CommentText"/>
      </w:pPr>
      <w:r>
        <w:t>103.</w:t>
      </w:r>
      <w:r w:rsidRPr="00DE57A5">
        <w:tab/>
      </w:r>
      <w:r>
        <w:t>Austin PC. An introduction to propensity score methods for reducing the effects of confounding in observational studies. Multivariate Behavioral Research. 2011;46:399–424.</w:t>
      </w:r>
    </w:p>
    <w:p w14:paraId="18B39DA3" w14:textId="3BD47480" w:rsidR="00DE57A5" w:rsidRDefault="00DE57A5">
      <w:pPr>
        <w:pStyle w:val="CommentText"/>
      </w:pPr>
    </w:p>
  </w:comment>
  <w:comment w:id="42" w:author="Norman" w:date="2022-06-17T10:08:00Z" w:initials="AB">
    <w:p w14:paraId="03E2086C" w14:textId="77777777" w:rsidR="00DE57A5" w:rsidRDefault="00DE57A5">
      <w:pPr>
        <w:pStyle w:val="CommentText"/>
      </w:pPr>
      <w:r>
        <w:rPr>
          <w:rStyle w:val="CommentReference"/>
        </w:rPr>
        <w:annotationRef/>
      </w:r>
      <w:r>
        <w:t>This was originally:</w:t>
      </w:r>
    </w:p>
    <w:p w14:paraId="20EBECCD" w14:textId="3CE8E6C4" w:rsidR="00DE57A5" w:rsidRDefault="00DE57A5">
      <w:pPr>
        <w:pStyle w:val="CommentText"/>
      </w:pPr>
      <w:r>
        <w:t>104.</w:t>
      </w:r>
      <w:r w:rsidRPr="00DE57A5">
        <w:tab/>
      </w:r>
      <w:r>
        <w:t>Rubin DB. On principles for modeling propensity scores in medical research. Pharmacoepidemiology and Drug Safety. 2004;13:855–7.</w:t>
      </w:r>
    </w:p>
    <w:p w14:paraId="4ECC4B9F" w14:textId="1169BFB3" w:rsidR="00DE57A5" w:rsidRDefault="00DE57A5">
      <w:pPr>
        <w:pStyle w:val="CommentText"/>
      </w:pPr>
    </w:p>
  </w:comment>
  <w:comment w:id="43" w:author="Norman" w:date="2022-06-17T10:08:00Z" w:initials="AB">
    <w:p w14:paraId="2A8ADCAE" w14:textId="77777777" w:rsidR="00DE57A5" w:rsidRDefault="00DE57A5">
      <w:pPr>
        <w:pStyle w:val="CommentText"/>
      </w:pPr>
      <w:r>
        <w:rPr>
          <w:rStyle w:val="CommentReference"/>
        </w:rPr>
        <w:annotationRef/>
      </w:r>
      <w:r>
        <w:t>This was originally:</w:t>
      </w:r>
    </w:p>
    <w:p w14:paraId="4E4C7F79" w14:textId="19A8C3A6" w:rsidR="00DE57A5" w:rsidRDefault="00DE57A5">
      <w:pPr>
        <w:pStyle w:val="CommentText"/>
      </w:pPr>
      <w:r>
        <w:t>107.</w:t>
      </w:r>
      <w:r w:rsidRPr="00DE57A5">
        <w:tab/>
      </w:r>
      <w:r>
        <w:t>Duijts L, Ramadhani MK, Moll HA. Breastfeeding protects against infectious diseases during infancy in industrialized countries. A systematic review. Maternal &amp; child nutrition. 2009;5(3):199-210.</w:t>
      </w:r>
    </w:p>
    <w:p w14:paraId="1825DC41" w14:textId="2C40D588" w:rsidR="00DE57A5" w:rsidRDefault="00DE57A5">
      <w:pPr>
        <w:pStyle w:val="CommentText"/>
      </w:pPr>
    </w:p>
  </w:comment>
  <w:comment w:id="44" w:author="Norman" w:date="2022-06-17T10:08:00Z" w:initials="AB">
    <w:p w14:paraId="0B27B931" w14:textId="77777777" w:rsidR="00DE57A5" w:rsidRDefault="00DE57A5">
      <w:pPr>
        <w:pStyle w:val="CommentText"/>
      </w:pPr>
      <w:r>
        <w:rPr>
          <w:rStyle w:val="CommentReference"/>
        </w:rPr>
        <w:annotationRef/>
      </w:r>
      <w:r>
        <w:t>This was originally:</w:t>
      </w:r>
    </w:p>
    <w:p w14:paraId="30833A25" w14:textId="484BD31C" w:rsidR="00DE57A5" w:rsidRDefault="00DE57A5">
      <w:pPr>
        <w:pStyle w:val="CommentText"/>
      </w:pPr>
      <w:r>
        <w:t>108.</w:t>
      </w:r>
      <w:r w:rsidRPr="00DE57A5">
        <w:tab/>
      </w:r>
      <w:r>
        <w:t>Ajetunmobi OM, Whyte B, Chalmers J, Tappin DM, Wolfson L, Fleming M, et al. Breastfeeding is associated with reduced childhood hospitalization: evidence from a Scottish Birth Cohort (1997-2009). The Journal of pediatrics. 2015;166(3):620-5. e4.</w:t>
      </w:r>
    </w:p>
    <w:p w14:paraId="7DDA296F" w14:textId="0576901C" w:rsidR="00DE57A5" w:rsidRDefault="00DE57A5">
      <w:pPr>
        <w:pStyle w:val="CommentText"/>
      </w:pPr>
    </w:p>
  </w:comment>
  <w:comment w:id="45" w:author="Norman" w:date="2022-06-17T10:08:00Z" w:initials="AB">
    <w:p w14:paraId="04552EBA" w14:textId="77777777" w:rsidR="00DE57A5" w:rsidRDefault="00DE57A5">
      <w:pPr>
        <w:pStyle w:val="CommentText"/>
      </w:pPr>
      <w:r>
        <w:rPr>
          <w:rStyle w:val="CommentReference"/>
        </w:rPr>
        <w:annotationRef/>
      </w:r>
      <w:r>
        <w:t>This was originally:</w:t>
      </w:r>
    </w:p>
    <w:p w14:paraId="2E300342" w14:textId="239588EB" w:rsidR="00DE57A5" w:rsidRDefault="00DE57A5">
      <w:pPr>
        <w:pStyle w:val="CommentText"/>
      </w:pPr>
      <w:r>
        <w:t>109.</w:t>
      </w:r>
      <w:r w:rsidRPr="00DE57A5">
        <w:tab/>
      </w:r>
      <w:r>
        <w:t>Basu A, Manca A. Regression estimators for generic health-related quality of life and quality-adjusted life years. Medical decision making : an international journal of the Society for Medical Decision Making. 2012;32(1):56-69.</w:t>
      </w:r>
    </w:p>
    <w:p w14:paraId="105BC403" w14:textId="1C4F6DB2" w:rsidR="00DE57A5" w:rsidRDefault="00DE57A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E361B7" w15:done="0"/>
  <w15:commentEx w15:paraId="321E463E" w15:done="0"/>
  <w15:commentEx w15:paraId="312DA8F0" w15:done="0"/>
  <w15:commentEx w15:paraId="44ACEE77" w15:done="0"/>
  <w15:commentEx w15:paraId="21A292B3" w15:done="0"/>
  <w15:commentEx w15:paraId="4D905EDA" w15:done="0"/>
  <w15:commentEx w15:paraId="0D75731A" w15:done="0"/>
  <w15:commentEx w15:paraId="209FEE09" w15:done="0"/>
  <w15:commentEx w15:paraId="09966DBD" w15:done="0"/>
  <w15:commentEx w15:paraId="0F211BC6" w15:done="0"/>
  <w15:commentEx w15:paraId="2699017C" w15:done="0"/>
  <w15:commentEx w15:paraId="6FCD85EF" w15:done="0"/>
  <w15:commentEx w15:paraId="1D844AAB" w15:done="0"/>
  <w15:commentEx w15:paraId="227788B8" w15:done="0"/>
  <w15:commentEx w15:paraId="54BF5160" w15:done="0"/>
  <w15:commentEx w15:paraId="5A1027D3" w15:done="0"/>
  <w15:commentEx w15:paraId="568D7065" w15:done="0"/>
  <w15:commentEx w15:paraId="04524848" w15:done="0"/>
  <w15:commentEx w15:paraId="37FCDFDD" w15:done="0"/>
  <w15:commentEx w15:paraId="74FD5CA1" w15:done="0"/>
  <w15:commentEx w15:paraId="0F44677E" w15:done="0"/>
  <w15:commentEx w15:paraId="0D020128" w15:done="0"/>
  <w15:commentEx w15:paraId="5722433D" w15:done="0"/>
  <w15:commentEx w15:paraId="2D2FE7FE" w15:done="0"/>
  <w15:commentEx w15:paraId="5E80C5B2" w15:done="0"/>
  <w15:commentEx w15:paraId="62F794FD" w15:done="0"/>
  <w15:commentEx w15:paraId="245C2703" w15:done="0"/>
  <w15:commentEx w15:paraId="476B5DEC" w15:done="0"/>
  <w15:commentEx w15:paraId="22AEA956" w15:done="0"/>
  <w15:commentEx w15:paraId="741DAB5A" w15:done="0"/>
  <w15:commentEx w15:paraId="4D74D163" w15:done="0"/>
  <w15:commentEx w15:paraId="64FE7A3D" w15:done="0"/>
  <w15:commentEx w15:paraId="7D076578" w15:done="0"/>
  <w15:commentEx w15:paraId="73F426C6" w15:done="0"/>
  <w15:commentEx w15:paraId="4B527D73" w15:done="0"/>
  <w15:commentEx w15:paraId="12B892AF" w15:done="0"/>
  <w15:commentEx w15:paraId="380CABA1" w15:done="0"/>
  <w15:commentEx w15:paraId="7A9B1457" w15:done="0"/>
  <w15:commentEx w15:paraId="09AEAEB3" w15:done="0"/>
  <w15:commentEx w15:paraId="33C43D07" w15:done="0"/>
  <w15:commentEx w15:paraId="7A98A79C" w15:done="0"/>
  <w15:commentEx w15:paraId="18B39DA3" w15:done="0"/>
  <w15:commentEx w15:paraId="4ECC4B9F" w15:done="0"/>
  <w15:commentEx w15:paraId="1825DC41" w15:done="0"/>
  <w15:commentEx w15:paraId="7DDA296F" w15:done="0"/>
  <w15:commentEx w15:paraId="105BC4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6D0C4" w16cex:dateUtc="2022-06-17T09:07:00Z"/>
  <w16cex:commentExtensible w16cex:durableId="2656D0C5" w16cex:dateUtc="2022-06-17T09:07:00Z"/>
  <w16cex:commentExtensible w16cex:durableId="2656D0C6" w16cex:dateUtc="2022-06-17T09:07:00Z"/>
  <w16cex:commentExtensible w16cex:durableId="2656D0CB" w16cex:dateUtc="2022-06-17T09:07:00Z"/>
  <w16cex:commentExtensible w16cex:durableId="2656D0D1" w16cex:dateUtc="2022-06-17T09:07:00Z"/>
  <w16cex:commentExtensible w16cex:durableId="2656D0D2" w16cex:dateUtc="2022-06-17T09:07:00Z"/>
  <w16cex:commentExtensible w16cex:durableId="2656D0D3" w16cex:dateUtc="2022-06-17T09:07:00Z"/>
  <w16cex:commentExtensible w16cex:durableId="2656D0D4" w16cex:dateUtc="2022-06-17T09:07:00Z"/>
  <w16cex:commentExtensible w16cex:durableId="2656D0D5" w16cex:dateUtc="2022-06-17T09:07:00Z"/>
  <w16cex:commentExtensible w16cex:durableId="2656D0D6" w16cex:dateUtc="2022-06-17T09:07:00Z"/>
  <w16cex:commentExtensible w16cex:durableId="2656D0D7" w16cex:dateUtc="2022-06-17T09:07:00Z"/>
  <w16cex:commentExtensible w16cex:durableId="2656D0D8" w16cex:dateUtc="2022-06-17T09:07:00Z"/>
  <w16cex:commentExtensible w16cex:durableId="2656D0D9" w16cex:dateUtc="2022-06-17T09:07:00Z"/>
  <w16cex:commentExtensible w16cex:durableId="2656D0DA" w16cex:dateUtc="2022-06-17T09:07:00Z"/>
  <w16cex:commentExtensible w16cex:durableId="2656D0DF" w16cex:dateUtc="2022-06-17T09:07:00Z"/>
  <w16cex:commentExtensible w16cex:durableId="2656D0E1" w16cex:dateUtc="2022-06-17T09:07:00Z"/>
  <w16cex:commentExtensible w16cex:durableId="2656D0E2" w16cex:dateUtc="2022-06-17T09:07:00Z"/>
  <w16cex:commentExtensible w16cex:durableId="2656D0E3" w16cex:dateUtc="2022-06-17T09:07:00Z"/>
  <w16cex:commentExtensible w16cex:durableId="2656D0E4" w16cex:dateUtc="2022-06-17T09:07:00Z"/>
  <w16cex:commentExtensible w16cex:durableId="2656D0E5" w16cex:dateUtc="2022-06-17T09:07:00Z"/>
  <w16cex:commentExtensible w16cex:durableId="2656D0E8" w16cex:dateUtc="2022-06-17T09:07:00Z"/>
  <w16cex:commentExtensible w16cex:durableId="2656D0E9" w16cex:dateUtc="2022-06-17T09:07:00Z"/>
  <w16cex:commentExtensible w16cex:durableId="2656D0EA" w16cex:dateUtc="2022-06-17T09:07:00Z"/>
  <w16cex:commentExtensible w16cex:durableId="2656D0EB" w16cex:dateUtc="2022-06-17T09:07:00Z"/>
  <w16cex:commentExtensible w16cex:durableId="2656D0EC" w16cex:dateUtc="2022-06-17T09:07:00Z"/>
  <w16cex:commentExtensible w16cex:durableId="2656D0ED" w16cex:dateUtc="2022-06-17T09:07:00Z"/>
  <w16cex:commentExtensible w16cex:durableId="2656D0F1" w16cex:dateUtc="2022-06-17T09:07:00Z"/>
  <w16cex:commentExtensible w16cex:durableId="2656D0F2" w16cex:dateUtc="2022-06-17T09:07:00Z"/>
  <w16cex:commentExtensible w16cex:durableId="2656D0F3" w16cex:dateUtc="2022-06-17T09:07:00Z"/>
  <w16cex:commentExtensible w16cex:durableId="2656D0F4" w16cex:dateUtc="2022-06-17T09:07:00Z"/>
  <w16cex:commentExtensible w16cex:durableId="2656D0F5" w16cex:dateUtc="2022-06-17T09:07:00Z"/>
  <w16cex:commentExtensible w16cex:durableId="2656D0F6" w16cex:dateUtc="2022-06-17T09:07:00Z"/>
  <w16cex:commentExtensible w16cex:durableId="2656D0F7" w16cex:dateUtc="2022-06-17T09:07:00Z"/>
  <w16cex:commentExtensible w16cex:durableId="2656D0F8" w16cex:dateUtc="2022-06-17T09:07:00Z"/>
  <w16cex:commentExtensible w16cex:durableId="2656D0F9" w16cex:dateUtc="2022-06-17T09:07:00Z"/>
  <w16cex:commentExtensible w16cex:durableId="2656D0FA" w16cex:dateUtc="2022-06-17T09:07:00Z"/>
  <w16cex:commentExtensible w16cex:durableId="2656D0FB" w16cex:dateUtc="2022-06-17T09:07:00Z"/>
  <w16cex:commentExtensible w16cex:durableId="2656D0FC" w16cex:dateUtc="2022-06-17T09:07:00Z"/>
  <w16cex:commentExtensible w16cex:durableId="2656D0FE" w16cex:dateUtc="2022-06-17T09:07:00Z"/>
  <w16cex:commentExtensible w16cex:durableId="2656D0FF" w16cex:dateUtc="2022-06-17T09:07:00Z"/>
  <w16cex:commentExtensible w16cex:durableId="2656D100" w16cex:dateUtc="2022-06-17T09:07:00Z"/>
  <w16cex:commentExtensible w16cex:durableId="2656D101" w16cex:dateUtc="2022-06-17T09:07:00Z"/>
  <w16cex:commentExtensible w16cex:durableId="2656D102" w16cex:dateUtc="2022-06-17T09:08:00Z"/>
  <w16cex:commentExtensible w16cex:durableId="2656D103" w16cex:dateUtc="2022-06-17T09:08:00Z"/>
  <w16cex:commentExtensible w16cex:durableId="2656D104" w16cex:dateUtc="2022-06-17T09:08:00Z"/>
  <w16cex:commentExtensible w16cex:durableId="2656D105" w16cex:dateUtc="2022-06-17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E361B7" w16cid:durableId="2656D0C4"/>
  <w16cid:commentId w16cid:paraId="321E463E" w16cid:durableId="2656D0C5"/>
  <w16cid:commentId w16cid:paraId="312DA8F0" w16cid:durableId="2656D0C6"/>
  <w16cid:commentId w16cid:paraId="44ACEE77" w16cid:durableId="2656D0CB"/>
  <w16cid:commentId w16cid:paraId="21A292B3" w16cid:durableId="2656D0D1"/>
  <w16cid:commentId w16cid:paraId="4D905EDA" w16cid:durableId="2656D0D2"/>
  <w16cid:commentId w16cid:paraId="0D75731A" w16cid:durableId="2656D0D3"/>
  <w16cid:commentId w16cid:paraId="209FEE09" w16cid:durableId="2656D0D4"/>
  <w16cid:commentId w16cid:paraId="09966DBD" w16cid:durableId="2656D0D5"/>
  <w16cid:commentId w16cid:paraId="0F211BC6" w16cid:durableId="2656D0D6"/>
  <w16cid:commentId w16cid:paraId="2699017C" w16cid:durableId="2656D0D7"/>
  <w16cid:commentId w16cid:paraId="6FCD85EF" w16cid:durableId="2656D0D8"/>
  <w16cid:commentId w16cid:paraId="1D844AAB" w16cid:durableId="2656D0D9"/>
  <w16cid:commentId w16cid:paraId="227788B8" w16cid:durableId="2656D0DA"/>
  <w16cid:commentId w16cid:paraId="54BF5160" w16cid:durableId="2656D0DF"/>
  <w16cid:commentId w16cid:paraId="5A1027D3" w16cid:durableId="2656D0E1"/>
  <w16cid:commentId w16cid:paraId="568D7065" w16cid:durableId="2656D0E2"/>
  <w16cid:commentId w16cid:paraId="04524848" w16cid:durableId="2656D0E3"/>
  <w16cid:commentId w16cid:paraId="37FCDFDD" w16cid:durableId="2656D0E4"/>
  <w16cid:commentId w16cid:paraId="74FD5CA1" w16cid:durableId="2656D0E5"/>
  <w16cid:commentId w16cid:paraId="0F44677E" w16cid:durableId="2656D0E8"/>
  <w16cid:commentId w16cid:paraId="0D020128" w16cid:durableId="2656D0E9"/>
  <w16cid:commentId w16cid:paraId="5722433D" w16cid:durableId="2656D0EA"/>
  <w16cid:commentId w16cid:paraId="2D2FE7FE" w16cid:durableId="2656D0EB"/>
  <w16cid:commentId w16cid:paraId="5E80C5B2" w16cid:durableId="2656D0EC"/>
  <w16cid:commentId w16cid:paraId="62F794FD" w16cid:durableId="2656D0ED"/>
  <w16cid:commentId w16cid:paraId="245C2703" w16cid:durableId="2656D0F1"/>
  <w16cid:commentId w16cid:paraId="476B5DEC" w16cid:durableId="2656D0F2"/>
  <w16cid:commentId w16cid:paraId="22AEA956" w16cid:durableId="2656D0F3"/>
  <w16cid:commentId w16cid:paraId="741DAB5A" w16cid:durableId="2656D0F4"/>
  <w16cid:commentId w16cid:paraId="4D74D163" w16cid:durableId="2656D0F5"/>
  <w16cid:commentId w16cid:paraId="64FE7A3D" w16cid:durableId="2656D0F6"/>
  <w16cid:commentId w16cid:paraId="7D076578" w16cid:durableId="2656D0F7"/>
  <w16cid:commentId w16cid:paraId="73F426C6" w16cid:durableId="2656D0F8"/>
  <w16cid:commentId w16cid:paraId="4B527D73" w16cid:durableId="2656D0F9"/>
  <w16cid:commentId w16cid:paraId="12B892AF" w16cid:durableId="2656D0FA"/>
  <w16cid:commentId w16cid:paraId="380CABA1" w16cid:durableId="2656D0FB"/>
  <w16cid:commentId w16cid:paraId="7A9B1457" w16cid:durableId="2656D0FC"/>
  <w16cid:commentId w16cid:paraId="09AEAEB3" w16cid:durableId="2656D0FE"/>
  <w16cid:commentId w16cid:paraId="33C43D07" w16cid:durableId="2656D0FF"/>
  <w16cid:commentId w16cid:paraId="7A98A79C" w16cid:durableId="2656D100"/>
  <w16cid:commentId w16cid:paraId="18B39DA3" w16cid:durableId="2656D101"/>
  <w16cid:commentId w16cid:paraId="4ECC4B9F" w16cid:durableId="2656D102"/>
  <w16cid:commentId w16cid:paraId="1825DC41" w16cid:durableId="2656D103"/>
  <w16cid:commentId w16cid:paraId="7DDA296F" w16cid:durableId="2656D104"/>
  <w16cid:commentId w16cid:paraId="105BC403" w16cid:durableId="2656D10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LT Pro 45 Light">
    <w:altName w:val="﷽﷽﷽﷽﷽﷽﷽﷽"/>
    <w:panose1 w:val="020B0403030504020204"/>
    <w:charset w:val="4D"/>
    <w:family w:val="swiss"/>
    <w:notTrueType/>
    <w:pitch w:val="variable"/>
    <w:sig w:usb0="A00000AF" w:usb1="5000204A" w:usb2="00000000" w:usb3="00000000" w:csb0="00000093" w:csb1="00000000"/>
  </w:font>
  <w:font w:name="Calibri">
    <w:panose1 w:val="020F0502020204030204"/>
    <w:charset w:val="00"/>
    <w:family w:val="swiss"/>
    <w:pitch w:val="variable"/>
    <w:sig w:usb0="E0002AFF" w:usb1="C000247B" w:usb2="00000009" w:usb3="00000000" w:csb0="000001FF" w:csb1="00000000"/>
  </w:font>
  <w:font w:name="Humanist777BT-LightB">
    <w:altName w:val="Humnst777 Lt BT"/>
    <w:panose1 w:val="020B0604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inionPro-Regular">
    <w:altName w:val="Hiragino Mincho ProN W3"/>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81F"/>
    <w:rsid w:val="0007211B"/>
    <w:rsid w:val="002C6D6F"/>
    <w:rsid w:val="003D4799"/>
    <w:rsid w:val="00743E8A"/>
    <w:rsid w:val="00756E3E"/>
    <w:rsid w:val="008C17F0"/>
    <w:rsid w:val="009847F8"/>
    <w:rsid w:val="00996B5A"/>
    <w:rsid w:val="00B44F76"/>
    <w:rsid w:val="00C36EA2"/>
    <w:rsid w:val="00CA5C31"/>
    <w:rsid w:val="00CB7801"/>
    <w:rsid w:val="00CE281F"/>
    <w:rsid w:val="00DE57A5"/>
    <w:rsid w:val="00DE7A1D"/>
    <w:rsid w:val="00F03A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84A7D9B"/>
  <w15:chartTrackingRefBased/>
  <w15:docId w15:val="{D9D20A25-78A6-D541-93E5-81E304384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LT Pro 45 Light" w:eastAsiaTheme="minorHAnsi" w:hAnsi="Frutiger LT Pro 45 Light" w:cs="Humanist777BT-LightB"/>
        <w:bCs/>
        <w:color w:val="000000"/>
        <w:u w:color="000000"/>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81F"/>
    <w:rPr>
      <w:rFonts w:ascii="Times New Roman" w:eastAsia="Times New Roman" w:hAnsi="Times New Roman" w:cs="Times New Roman"/>
      <w:bCs w:val="0"/>
      <w:color w:val="auto"/>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96">
    <w:name w:val="xl96"/>
    <w:basedOn w:val="Normal"/>
    <w:rsid w:val="00CB7801"/>
    <w:pPr>
      <w:pBdr>
        <w:right w:val="single" w:sz="4" w:space="0" w:color="auto"/>
      </w:pBdr>
      <w:spacing w:before="100" w:beforeAutospacing="1" w:after="100" w:afterAutospacing="1"/>
      <w:jc w:val="right"/>
    </w:pPr>
    <w:rPr>
      <w:lang w:val="en-GB" w:eastAsia="en-GB"/>
    </w:rPr>
  </w:style>
  <w:style w:type="paragraph" w:customStyle="1" w:styleId="BasicParagraph">
    <w:name w:val="[Basic Paragraph]"/>
    <w:basedOn w:val="Normal"/>
    <w:uiPriority w:val="99"/>
    <w:rsid w:val="00CB7801"/>
    <w:pPr>
      <w:widowControl w:val="0"/>
      <w:autoSpaceDE w:val="0"/>
      <w:autoSpaceDN w:val="0"/>
      <w:adjustRightInd w:val="0"/>
      <w:spacing w:line="260" w:lineRule="atLeast"/>
      <w:textAlignment w:val="center"/>
    </w:pPr>
    <w:rPr>
      <w:rFonts w:ascii="MinionPro-Regular" w:cs="MinionPro-Regular"/>
      <w:sz w:val="21"/>
      <w:szCs w:val="21"/>
      <w:lang w:val="en-GB"/>
    </w:rPr>
  </w:style>
  <w:style w:type="paragraph" w:customStyle="1" w:styleId="EndNoteBibliography">
    <w:name w:val="EndNote Bibliography"/>
    <w:basedOn w:val="Normal"/>
    <w:link w:val="EndNoteBibliographyChar"/>
    <w:rsid w:val="00CE281F"/>
    <w:pPr>
      <w:spacing w:line="360" w:lineRule="auto"/>
      <w:jc w:val="both"/>
    </w:pPr>
    <w:rPr>
      <w:rFonts w:ascii="Arial" w:hAnsi="Arial" w:cs="Arial"/>
      <w:noProof/>
    </w:rPr>
  </w:style>
  <w:style w:type="character" w:customStyle="1" w:styleId="EndNoteBibliographyChar">
    <w:name w:val="EndNote Bibliography Char"/>
    <w:basedOn w:val="DefaultParagraphFont"/>
    <w:link w:val="EndNoteBibliography"/>
    <w:rsid w:val="00CE281F"/>
    <w:rPr>
      <w:rFonts w:ascii="Arial" w:eastAsia="Times New Roman" w:hAnsi="Arial" w:cs="Arial"/>
      <w:bCs w:val="0"/>
      <w:noProof/>
      <w:color w:val="auto"/>
      <w:lang w:val="en-US"/>
    </w:rPr>
  </w:style>
  <w:style w:type="paragraph" w:customStyle="1" w:styleId="65ReferencesTextstylesTextstyles">
    <w:name w:val="6.5 References (Text styles) (Text styles)"/>
    <w:basedOn w:val="Normal"/>
    <w:uiPriority w:val="99"/>
    <w:rsid w:val="00DE7A1D"/>
    <w:pPr>
      <w:widowControl w:val="0"/>
      <w:suppressAutoHyphens/>
      <w:autoSpaceDE w:val="0"/>
      <w:autoSpaceDN w:val="0"/>
      <w:adjustRightInd w:val="0"/>
      <w:spacing w:after="130" w:line="260" w:lineRule="atLeast"/>
      <w:ind w:left="600" w:hanging="120"/>
      <w:textAlignment w:val="center"/>
    </w:pPr>
    <w:rPr>
      <w:rFonts w:ascii="Humanist777BT-LightB" w:hAnsi="Humanist777BT-LightB" w:cs="Humanist777BT-LightB"/>
      <w:color w:val="000000"/>
      <w:lang w:val="en-GB"/>
    </w:rPr>
  </w:style>
  <w:style w:type="character" w:styleId="CommentReference">
    <w:name w:val="annotation reference"/>
    <w:basedOn w:val="DefaultParagraphFont"/>
    <w:uiPriority w:val="99"/>
    <w:semiHidden/>
    <w:unhideWhenUsed/>
    <w:rsid w:val="00DE7A1D"/>
    <w:rPr>
      <w:sz w:val="16"/>
      <w:szCs w:val="16"/>
    </w:rPr>
  </w:style>
  <w:style w:type="paragraph" w:styleId="CommentText">
    <w:name w:val="annotation text"/>
    <w:basedOn w:val="Normal"/>
    <w:link w:val="CommentTextChar"/>
    <w:uiPriority w:val="99"/>
    <w:semiHidden/>
    <w:unhideWhenUsed/>
    <w:rsid w:val="00DE7A1D"/>
  </w:style>
  <w:style w:type="character" w:customStyle="1" w:styleId="CommentTextChar">
    <w:name w:val="Comment Text Char"/>
    <w:basedOn w:val="DefaultParagraphFont"/>
    <w:link w:val="CommentText"/>
    <w:uiPriority w:val="99"/>
    <w:semiHidden/>
    <w:rsid w:val="00DE7A1D"/>
    <w:rPr>
      <w:rFonts w:ascii="Times New Roman" w:eastAsia="Times New Roman" w:hAnsi="Times New Roman" w:cs="Times New Roman"/>
      <w:bCs w:val="0"/>
      <w:color w:val="auto"/>
      <w:lang w:val="en-US"/>
    </w:rPr>
  </w:style>
  <w:style w:type="paragraph" w:styleId="CommentSubject">
    <w:name w:val="annotation subject"/>
    <w:basedOn w:val="CommentText"/>
    <w:next w:val="CommentText"/>
    <w:link w:val="CommentSubjectChar"/>
    <w:uiPriority w:val="99"/>
    <w:semiHidden/>
    <w:unhideWhenUsed/>
    <w:rsid w:val="00DE7A1D"/>
    <w:rPr>
      <w:b/>
      <w:bCs/>
    </w:rPr>
  </w:style>
  <w:style w:type="character" w:customStyle="1" w:styleId="CommentSubjectChar">
    <w:name w:val="Comment Subject Char"/>
    <w:basedOn w:val="CommentTextChar"/>
    <w:link w:val="CommentSubject"/>
    <w:uiPriority w:val="99"/>
    <w:semiHidden/>
    <w:rsid w:val="00DE7A1D"/>
    <w:rPr>
      <w:rFonts w:ascii="Times New Roman" w:eastAsia="Times New Roman" w:hAnsi="Times New Roman" w:cs="Times New Roman"/>
      <w:b/>
      <w:bCs/>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4" Type="http://schemas.openxmlformats.org/officeDocument/2006/relationships/comments" Target="commen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2832</Words>
  <Characters>16144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Davies-Coleman</dc:creator>
  <cp:keywords/>
  <dc:description/>
  <cp:lastModifiedBy>Alex</cp:lastModifiedBy>
  <cp:revision>2</cp:revision>
  <dcterms:created xsi:type="dcterms:W3CDTF">2022-06-17T09:08:00Z</dcterms:created>
  <dcterms:modified xsi:type="dcterms:W3CDTF">2022-06-17T09:08:00Z</dcterms:modified>
</cp:coreProperties>
</file>